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D4297" w14:textId="77777777" w:rsidR="00EF42AD" w:rsidRPr="00690985" w:rsidRDefault="00F6320F" w:rsidP="00B4201C">
      <w:pPr>
        <w:pStyle w:val="ADYNATituloArticulo"/>
        <w:spacing w:before="240"/>
        <w:ind w:left="284" w:right="148" w:firstLine="0"/>
        <w:jc w:val="left"/>
        <w:rPr>
          <w:b/>
          <w:sz w:val="32"/>
          <w:lang w:val="es-CO"/>
        </w:rPr>
      </w:pPr>
      <w:r w:rsidRPr="00690985">
        <w:rPr>
          <w:b/>
          <w:sz w:val="32"/>
          <w:lang w:val="es-CO"/>
        </w:rPr>
        <w:t>Instrucción para autores, p</w:t>
      </w:r>
      <w:r w:rsidR="00E83623" w:rsidRPr="00690985">
        <w:rPr>
          <w:b/>
          <w:sz w:val="32"/>
          <w:lang w:val="es-CO"/>
        </w:rPr>
        <w:t xml:space="preserve">reparación del </w:t>
      </w:r>
      <w:r w:rsidR="006C59E4">
        <w:rPr>
          <w:b/>
          <w:sz w:val="32"/>
          <w:lang w:val="es-CO"/>
        </w:rPr>
        <w:t>manuscrito</w:t>
      </w:r>
      <w:r w:rsidRPr="00690985">
        <w:rPr>
          <w:b/>
          <w:sz w:val="32"/>
          <w:lang w:val="es-CO"/>
        </w:rPr>
        <w:t xml:space="preserve"> para </w:t>
      </w:r>
      <w:r w:rsidR="00287618" w:rsidRPr="00690985">
        <w:rPr>
          <w:b/>
          <w:sz w:val="32"/>
          <w:lang w:val="es-CO"/>
        </w:rPr>
        <w:t>BISTUA</w:t>
      </w:r>
      <w:r w:rsidRPr="00690985">
        <w:rPr>
          <w:b/>
          <w:sz w:val="32"/>
          <w:lang w:val="es-CO"/>
        </w:rPr>
        <w:t xml:space="preserve"> </w:t>
      </w:r>
      <w:r w:rsidR="00E83623" w:rsidRPr="00690985">
        <w:rPr>
          <w:b/>
          <w:sz w:val="32"/>
          <w:lang w:val="es-CO"/>
        </w:rPr>
        <w:t xml:space="preserve"> </w:t>
      </w:r>
      <w:r w:rsidR="00102F46" w:rsidRPr="00690985">
        <w:rPr>
          <w:b/>
          <w:sz w:val="32"/>
          <w:lang w:val="es-CO"/>
        </w:rPr>
        <w:t xml:space="preserve"> </w:t>
      </w:r>
    </w:p>
    <w:p w14:paraId="54907F1C" w14:textId="77777777" w:rsidR="00874029" w:rsidRPr="00690985" w:rsidRDefault="00F6320F" w:rsidP="00B4201C">
      <w:pPr>
        <w:pStyle w:val="ADYNATituloArticulo"/>
        <w:spacing w:before="240"/>
        <w:ind w:left="284" w:right="1140" w:firstLine="0"/>
        <w:jc w:val="left"/>
        <w:rPr>
          <w:b/>
          <w:sz w:val="32"/>
        </w:rPr>
      </w:pPr>
      <w:r w:rsidRPr="00690985">
        <w:rPr>
          <w:b/>
          <w:sz w:val="32"/>
        </w:rPr>
        <w:t xml:space="preserve">Instruction for authors, preparation of papers for </w:t>
      </w:r>
      <w:r w:rsidR="00287618" w:rsidRPr="00690985">
        <w:rPr>
          <w:b/>
          <w:sz w:val="32"/>
        </w:rPr>
        <w:t>BISTUA</w:t>
      </w:r>
    </w:p>
    <w:p w14:paraId="4669305C" w14:textId="77777777" w:rsidR="00EF42AD" w:rsidRPr="00690985" w:rsidRDefault="00EF42AD" w:rsidP="00EF42AD">
      <w:pPr>
        <w:rPr>
          <w:szCs w:val="20"/>
          <w:lang w:val="en-US"/>
        </w:rPr>
      </w:pPr>
    </w:p>
    <w:p w14:paraId="4C71156F" w14:textId="77777777" w:rsidR="00EF42AD" w:rsidRPr="003A1AF9" w:rsidRDefault="00A643BE" w:rsidP="000A33DC">
      <w:pPr>
        <w:pStyle w:val="ADYNAAutores"/>
        <w:ind w:left="284"/>
        <w:jc w:val="left"/>
        <w:rPr>
          <w:sz w:val="20"/>
        </w:rPr>
      </w:pPr>
      <w:r w:rsidRPr="003A1AF9">
        <w:rPr>
          <w:sz w:val="20"/>
        </w:rPr>
        <w:t>Nombre</w:t>
      </w:r>
      <w:r w:rsidR="000A33DC" w:rsidRPr="003A1AF9">
        <w:rPr>
          <w:sz w:val="20"/>
        </w:rPr>
        <w:t>1</w:t>
      </w:r>
      <w:r w:rsidRPr="003A1AF9">
        <w:rPr>
          <w:sz w:val="20"/>
        </w:rPr>
        <w:t xml:space="preserve"> Apellido</w:t>
      </w:r>
      <w:r w:rsidR="000A33DC" w:rsidRPr="003A1AF9">
        <w:rPr>
          <w:sz w:val="20"/>
        </w:rPr>
        <w:t xml:space="preserve">1 </w:t>
      </w:r>
      <w:r w:rsidR="000A33DC" w:rsidRPr="003A1AF9">
        <w:rPr>
          <w:i/>
          <w:sz w:val="20"/>
          <w:vertAlign w:val="superscript"/>
        </w:rPr>
        <w:t>a</w:t>
      </w:r>
      <w:r w:rsidR="000A33DC" w:rsidRPr="003A1AF9">
        <w:rPr>
          <w:sz w:val="20"/>
        </w:rPr>
        <w:t>;</w:t>
      </w:r>
      <w:r w:rsidRPr="003A1AF9">
        <w:rPr>
          <w:sz w:val="20"/>
        </w:rPr>
        <w:t xml:space="preserve"> </w:t>
      </w:r>
      <w:r w:rsidR="000A33DC" w:rsidRPr="003A1AF9">
        <w:rPr>
          <w:sz w:val="20"/>
        </w:rPr>
        <w:t>Nombre2</w:t>
      </w:r>
      <w:r w:rsidR="00EF42AD" w:rsidRPr="003A1AF9">
        <w:rPr>
          <w:sz w:val="20"/>
        </w:rPr>
        <w:t xml:space="preserve"> </w:t>
      </w:r>
      <w:r w:rsidR="000A33DC" w:rsidRPr="003A1AF9">
        <w:rPr>
          <w:sz w:val="20"/>
        </w:rPr>
        <w:t xml:space="preserve">Apellido2 </w:t>
      </w:r>
      <w:r w:rsidR="000A33DC" w:rsidRPr="003A1AF9">
        <w:rPr>
          <w:i/>
          <w:sz w:val="20"/>
          <w:vertAlign w:val="superscript"/>
        </w:rPr>
        <w:t>b</w:t>
      </w:r>
      <w:r w:rsidR="000501A2" w:rsidRPr="003A1AF9">
        <w:rPr>
          <w:sz w:val="20"/>
        </w:rPr>
        <w:t xml:space="preserve">; </w:t>
      </w:r>
      <w:r w:rsidR="000A33DC" w:rsidRPr="003A1AF9">
        <w:rPr>
          <w:sz w:val="20"/>
        </w:rPr>
        <w:t xml:space="preserve">Nombre3 Apellido3 </w:t>
      </w:r>
      <w:r w:rsidR="000A33DC" w:rsidRPr="003A1AF9">
        <w:rPr>
          <w:i/>
          <w:sz w:val="20"/>
          <w:vertAlign w:val="superscript"/>
        </w:rPr>
        <w:t>b</w:t>
      </w:r>
    </w:p>
    <w:p w14:paraId="29501F43" w14:textId="77777777" w:rsidR="00EF42AD" w:rsidRPr="003A1AF9" w:rsidRDefault="00EF42AD" w:rsidP="000A33DC">
      <w:pPr>
        <w:ind w:left="284"/>
        <w:rPr>
          <w:sz w:val="20"/>
          <w:szCs w:val="20"/>
          <w:lang w:val="es-CO"/>
        </w:rPr>
      </w:pPr>
    </w:p>
    <w:p w14:paraId="01CC2250" w14:textId="77777777" w:rsidR="00EF42AD" w:rsidRPr="003A1AF9" w:rsidRDefault="00EF42AD" w:rsidP="0008386D">
      <w:pPr>
        <w:ind w:left="284" w:firstLine="0"/>
        <w:jc w:val="left"/>
        <w:rPr>
          <w:i/>
          <w:sz w:val="20"/>
          <w:szCs w:val="20"/>
          <w:lang w:val="es-ES_tradnl"/>
        </w:rPr>
      </w:pPr>
      <w:r w:rsidRPr="003A1AF9">
        <w:rPr>
          <w:i/>
          <w:sz w:val="20"/>
          <w:szCs w:val="20"/>
          <w:vertAlign w:val="superscript"/>
          <w:lang w:val="es-ES_tradnl"/>
        </w:rPr>
        <w:t>a</w:t>
      </w:r>
      <w:r w:rsidR="00FD0C5F" w:rsidRPr="003A1AF9">
        <w:rPr>
          <w:i/>
          <w:sz w:val="20"/>
          <w:szCs w:val="20"/>
          <w:vertAlign w:val="superscript"/>
          <w:lang w:val="es-ES_tradnl"/>
        </w:rPr>
        <w:t xml:space="preserve"> </w:t>
      </w:r>
      <w:r w:rsidRPr="003A1AF9">
        <w:rPr>
          <w:i/>
          <w:sz w:val="20"/>
          <w:szCs w:val="20"/>
          <w:lang w:val="es-ES_tradnl"/>
        </w:rPr>
        <w:t xml:space="preserve">Facultad de </w:t>
      </w:r>
      <w:r w:rsidR="000A33DC" w:rsidRPr="003A1AF9">
        <w:rPr>
          <w:i/>
          <w:sz w:val="20"/>
          <w:szCs w:val="20"/>
          <w:lang w:val="es-ES_tradnl"/>
        </w:rPr>
        <w:t>Ciencias Básicas</w:t>
      </w:r>
      <w:r w:rsidRPr="003A1AF9">
        <w:rPr>
          <w:i/>
          <w:sz w:val="20"/>
          <w:szCs w:val="20"/>
          <w:lang w:val="es-ES_tradnl"/>
        </w:rPr>
        <w:t xml:space="preserve">, Universidad </w:t>
      </w:r>
      <w:r w:rsidR="000A33DC" w:rsidRPr="003A1AF9">
        <w:rPr>
          <w:i/>
          <w:sz w:val="20"/>
          <w:szCs w:val="20"/>
          <w:lang w:val="es-ES_tradnl"/>
        </w:rPr>
        <w:t xml:space="preserve">de Pamplona, </w:t>
      </w:r>
      <w:r w:rsidR="00CB0CC9" w:rsidRPr="003A1AF9">
        <w:rPr>
          <w:i/>
          <w:sz w:val="20"/>
          <w:szCs w:val="20"/>
          <w:lang w:val="es-ES_tradnl"/>
        </w:rPr>
        <w:t>Colombia</w:t>
      </w:r>
      <w:r w:rsidR="008477DD" w:rsidRPr="003A1AF9">
        <w:rPr>
          <w:i/>
          <w:sz w:val="20"/>
          <w:szCs w:val="20"/>
          <w:lang w:val="es-ES_tradnl"/>
        </w:rPr>
        <w:t xml:space="preserve">. </w:t>
      </w:r>
      <w:r w:rsidR="0008386D">
        <w:rPr>
          <w:i/>
          <w:sz w:val="20"/>
          <w:szCs w:val="20"/>
          <w:lang w:val="es-ES_tradnl"/>
        </w:rPr>
        <w:t xml:space="preserve">E-mail: </w:t>
      </w:r>
      <w:r w:rsidR="000A33DC" w:rsidRPr="003A1AF9">
        <w:rPr>
          <w:i/>
          <w:sz w:val="20"/>
          <w:szCs w:val="20"/>
          <w:lang w:val="es-ES_tradnl"/>
        </w:rPr>
        <w:t>autorresponsable</w:t>
      </w:r>
      <w:r w:rsidR="00FD0C5F" w:rsidRPr="003A1AF9">
        <w:rPr>
          <w:i/>
          <w:sz w:val="20"/>
          <w:szCs w:val="20"/>
          <w:lang w:val="es-ES_tradnl"/>
        </w:rPr>
        <w:t>@un</w:t>
      </w:r>
      <w:r w:rsidR="000A33DC" w:rsidRPr="003A1AF9">
        <w:rPr>
          <w:i/>
          <w:sz w:val="20"/>
          <w:szCs w:val="20"/>
          <w:lang w:val="es-ES_tradnl"/>
        </w:rPr>
        <w:t>ipamplona.edu.co</w:t>
      </w:r>
    </w:p>
    <w:p w14:paraId="0F4D09CB" w14:textId="77777777" w:rsidR="00CB0CC9" w:rsidRPr="003A1AF9" w:rsidRDefault="00CB0CC9" w:rsidP="0008386D">
      <w:pPr>
        <w:pStyle w:val="ADYNAFiliacion"/>
        <w:ind w:left="284" w:firstLine="0"/>
        <w:jc w:val="left"/>
        <w:rPr>
          <w:sz w:val="20"/>
        </w:rPr>
      </w:pPr>
      <w:r w:rsidRPr="003A1AF9">
        <w:rPr>
          <w:sz w:val="20"/>
          <w:vertAlign w:val="superscript"/>
        </w:rPr>
        <w:t>b</w:t>
      </w:r>
      <w:r w:rsidR="00FD0C5F" w:rsidRPr="003A1AF9">
        <w:rPr>
          <w:sz w:val="20"/>
          <w:vertAlign w:val="superscript"/>
        </w:rPr>
        <w:t xml:space="preserve"> </w:t>
      </w:r>
      <w:r w:rsidR="000A33DC" w:rsidRPr="003A1AF9">
        <w:rPr>
          <w:sz w:val="20"/>
        </w:rPr>
        <w:t>Departamento de Física y Geología</w:t>
      </w:r>
      <w:r w:rsidRPr="003A1AF9">
        <w:rPr>
          <w:sz w:val="20"/>
        </w:rPr>
        <w:t xml:space="preserve">, Universidad </w:t>
      </w:r>
      <w:r w:rsidR="000A33DC" w:rsidRPr="003A1AF9">
        <w:rPr>
          <w:sz w:val="20"/>
        </w:rPr>
        <w:t>de Pamplona</w:t>
      </w:r>
      <w:r w:rsidRPr="003A1AF9">
        <w:rPr>
          <w:sz w:val="20"/>
        </w:rPr>
        <w:t>, Colombia</w:t>
      </w:r>
      <w:r w:rsidR="00FD0C5F" w:rsidRPr="003A1AF9">
        <w:rPr>
          <w:sz w:val="20"/>
        </w:rPr>
        <w:t>.</w:t>
      </w:r>
    </w:p>
    <w:p w14:paraId="197D631A" w14:textId="77777777" w:rsidR="00EF42AD" w:rsidRPr="00690985" w:rsidRDefault="00EF42AD" w:rsidP="000A33DC">
      <w:pPr>
        <w:ind w:left="284"/>
        <w:rPr>
          <w:sz w:val="16"/>
          <w:szCs w:val="20"/>
          <w:lang w:val="es-ES_tradnl"/>
        </w:rPr>
      </w:pPr>
    </w:p>
    <w:p w14:paraId="7A4FA952" w14:textId="77777777" w:rsidR="00EF42AD" w:rsidRPr="00690985" w:rsidRDefault="00CB0CC9" w:rsidP="003A1AF9">
      <w:pPr>
        <w:jc w:val="right"/>
        <w:rPr>
          <w:sz w:val="16"/>
          <w:szCs w:val="20"/>
          <w:lang w:val="es-CO"/>
        </w:rPr>
      </w:pPr>
      <w:r w:rsidRPr="00F708A9">
        <w:rPr>
          <w:sz w:val="16"/>
          <w:szCs w:val="20"/>
          <w:lang w:val="es-CO"/>
        </w:rPr>
        <w:t>Rec</w:t>
      </w:r>
      <w:r w:rsidR="0098228A" w:rsidRPr="00F708A9">
        <w:rPr>
          <w:sz w:val="16"/>
          <w:szCs w:val="20"/>
          <w:lang w:val="es-CO"/>
        </w:rPr>
        <w:t>ib</w:t>
      </w:r>
      <w:r w:rsidR="005B16FD" w:rsidRPr="00F708A9">
        <w:rPr>
          <w:sz w:val="16"/>
          <w:szCs w:val="20"/>
          <w:lang w:val="es-CO"/>
        </w:rPr>
        <w:t>ido</w:t>
      </w:r>
      <w:r w:rsidRPr="00F708A9">
        <w:rPr>
          <w:sz w:val="16"/>
          <w:szCs w:val="20"/>
          <w:lang w:val="es-CO"/>
        </w:rPr>
        <w:t xml:space="preserve">: </w:t>
      </w:r>
      <w:proofErr w:type="gramStart"/>
      <w:r w:rsidR="005B16FD" w:rsidRPr="00F708A9">
        <w:rPr>
          <w:sz w:val="16"/>
          <w:szCs w:val="20"/>
          <w:lang w:val="es-CO"/>
        </w:rPr>
        <w:t>Agosto</w:t>
      </w:r>
      <w:proofErr w:type="gramEnd"/>
      <w:r w:rsidRPr="00F708A9">
        <w:rPr>
          <w:sz w:val="16"/>
          <w:szCs w:val="20"/>
          <w:lang w:val="es-CO"/>
        </w:rPr>
        <w:t xml:space="preserve"> 6, 20</w:t>
      </w:r>
      <w:r w:rsidR="005B16FD" w:rsidRPr="00F708A9">
        <w:rPr>
          <w:sz w:val="16"/>
          <w:szCs w:val="20"/>
          <w:lang w:val="es-CO"/>
        </w:rPr>
        <w:t>20</w:t>
      </w:r>
      <w:r w:rsidRPr="00F708A9">
        <w:rPr>
          <w:sz w:val="16"/>
          <w:szCs w:val="20"/>
          <w:lang w:val="es-CO"/>
        </w:rPr>
        <w:t xml:space="preserve">. </w:t>
      </w:r>
      <w:r w:rsidRPr="00690985">
        <w:rPr>
          <w:sz w:val="16"/>
          <w:szCs w:val="20"/>
          <w:lang w:val="es-CO"/>
        </w:rPr>
        <w:t>Re</w:t>
      </w:r>
      <w:r w:rsidR="005B16FD" w:rsidRPr="00690985">
        <w:rPr>
          <w:sz w:val="16"/>
          <w:szCs w:val="20"/>
          <w:lang w:val="es-CO"/>
        </w:rPr>
        <w:t>visado</w:t>
      </w:r>
      <w:r w:rsidRPr="00690985">
        <w:rPr>
          <w:sz w:val="16"/>
          <w:szCs w:val="20"/>
          <w:lang w:val="es-CO"/>
        </w:rPr>
        <w:t xml:space="preserve">: </w:t>
      </w:r>
      <w:r w:rsidR="005B16FD" w:rsidRPr="00690985">
        <w:rPr>
          <w:sz w:val="16"/>
          <w:szCs w:val="20"/>
          <w:lang w:val="es-CO"/>
        </w:rPr>
        <w:t>Septiembre</w:t>
      </w:r>
      <w:r w:rsidRPr="00690985">
        <w:rPr>
          <w:sz w:val="16"/>
          <w:szCs w:val="20"/>
          <w:lang w:val="es-CO"/>
        </w:rPr>
        <w:t xml:space="preserve"> </w:t>
      </w:r>
      <w:r w:rsidR="005B16FD" w:rsidRPr="00690985">
        <w:rPr>
          <w:sz w:val="16"/>
          <w:szCs w:val="20"/>
          <w:lang w:val="es-CO"/>
        </w:rPr>
        <w:t>-----</w:t>
      </w:r>
      <w:r w:rsidRPr="00690985">
        <w:rPr>
          <w:sz w:val="16"/>
          <w:szCs w:val="20"/>
          <w:lang w:val="es-CO"/>
        </w:rPr>
        <w:t>, 20</w:t>
      </w:r>
      <w:r w:rsidR="005B16FD" w:rsidRPr="00690985">
        <w:rPr>
          <w:sz w:val="16"/>
          <w:szCs w:val="20"/>
          <w:lang w:val="es-CO"/>
        </w:rPr>
        <w:t>20</w:t>
      </w:r>
      <w:r w:rsidR="00B80B3A">
        <w:rPr>
          <w:sz w:val="16"/>
          <w:szCs w:val="20"/>
          <w:lang w:val="es-CO"/>
        </w:rPr>
        <w:t>. Ac</w:t>
      </w:r>
      <w:r w:rsidR="00190139" w:rsidRPr="00690985">
        <w:rPr>
          <w:sz w:val="16"/>
          <w:szCs w:val="20"/>
          <w:lang w:val="es-CO"/>
        </w:rPr>
        <w:t>ept</w:t>
      </w:r>
      <w:r w:rsidR="005B16FD" w:rsidRPr="00690985">
        <w:rPr>
          <w:sz w:val="16"/>
          <w:szCs w:val="20"/>
          <w:lang w:val="es-CO"/>
        </w:rPr>
        <w:t>a</w:t>
      </w:r>
      <w:r w:rsidR="00190139" w:rsidRPr="00690985">
        <w:rPr>
          <w:sz w:val="16"/>
          <w:szCs w:val="20"/>
          <w:lang w:val="es-CO"/>
        </w:rPr>
        <w:t>d</w:t>
      </w:r>
      <w:r w:rsidR="005B16FD" w:rsidRPr="00690985">
        <w:rPr>
          <w:sz w:val="16"/>
          <w:szCs w:val="20"/>
          <w:lang w:val="es-CO"/>
        </w:rPr>
        <w:t>o</w:t>
      </w:r>
      <w:r w:rsidR="00190139" w:rsidRPr="00690985">
        <w:rPr>
          <w:sz w:val="16"/>
          <w:szCs w:val="20"/>
          <w:lang w:val="es-CO"/>
        </w:rPr>
        <w:t xml:space="preserve">: </w:t>
      </w:r>
      <w:r w:rsidR="005B16FD" w:rsidRPr="00690985">
        <w:rPr>
          <w:sz w:val="16"/>
          <w:szCs w:val="20"/>
          <w:lang w:val="es-CO"/>
        </w:rPr>
        <w:t>Septiembre</w:t>
      </w:r>
      <w:r w:rsidR="00190139" w:rsidRPr="00690985">
        <w:rPr>
          <w:sz w:val="16"/>
          <w:szCs w:val="20"/>
          <w:lang w:val="es-CO"/>
        </w:rPr>
        <w:t xml:space="preserve"> </w:t>
      </w:r>
      <w:r w:rsidR="005B16FD" w:rsidRPr="00690985">
        <w:rPr>
          <w:sz w:val="16"/>
          <w:szCs w:val="20"/>
          <w:lang w:val="es-CO"/>
        </w:rPr>
        <w:t>-----</w:t>
      </w:r>
      <w:r w:rsidR="00190139" w:rsidRPr="00690985">
        <w:rPr>
          <w:sz w:val="16"/>
          <w:szCs w:val="20"/>
          <w:lang w:val="es-CO"/>
        </w:rPr>
        <w:t>, 20</w:t>
      </w:r>
      <w:r w:rsidR="005B16FD" w:rsidRPr="00690985">
        <w:rPr>
          <w:sz w:val="16"/>
          <w:szCs w:val="20"/>
          <w:lang w:val="es-CO"/>
        </w:rPr>
        <w:t>20</w:t>
      </w:r>
    </w:p>
    <w:p w14:paraId="5D1F9690" w14:textId="77777777" w:rsidR="00190139" w:rsidRPr="00690985" w:rsidRDefault="0039253C" w:rsidP="00190139">
      <w:pPr>
        <w:jc w:val="left"/>
        <w:rPr>
          <w:sz w:val="16"/>
          <w:szCs w:val="20"/>
          <w:lang w:val="en-US"/>
        </w:rPr>
      </w:pPr>
      <w:r>
        <w:rPr>
          <w:sz w:val="16"/>
          <w:szCs w:val="20"/>
          <w:lang w:val="en-US"/>
        </w:rPr>
        <w:pict w14:anchorId="4E590282">
          <v:rect id="_x0000_i1025" style="width:466.65pt;height:1.5pt" o:hrpct="940" o:hralign="center" o:hrstd="t" o:hr="t" fillcolor="#a0a0a0" stroked="f"/>
        </w:pict>
      </w:r>
    </w:p>
    <w:p w14:paraId="6FC07FD1" w14:textId="77777777" w:rsidR="00866EB9" w:rsidRPr="00690985" w:rsidRDefault="00866EB9" w:rsidP="00EF42AD">
      <w:pPr>
        <w:rPr>
          <w:szCs w:val="20"/>
          <w:lang w:val="en-US"/>
        </w:rPr>
      </w:pPr>
    </w:p>
    <w:tbl>
      <w:tblPr>
        <w:tblStyle w:val="Tablaconcuadrcula"/>
        <w:tblW w:w="0" w:type="auto"/>
        <w:tblLook w:val="04A0" w:firstRow="1" w:lastRow="0" w:firstColumn="1" w:lastColumn="0" w:noHBand="0" w:noVBand="1"/>
      </w:tblPr>
      <w:tblGrid>
        <w:gridCol w:w="4959"/>
        <w:gridCol w:w="4960"/>
      </w:tblGrid>
      <w:tr w:rsidR="00866EB9" w:rsidRPr="003F275D" w14:paraId="242063B9" w14:textId="77777777" w:rsidTr="00D374F1">
        <w:tc>
          <w:tcPr>
            <w:tcW w:w="4959" w:type="dxa"/>
            <w:tcBorders>
              <w:left w:val="nil"/>
            </w:tcBorders>
          </w:tcPr>
          <w:p w14:paraId="46F45E5A" w14:textId="77777777" w:rsidR="000C0298" w:rsidRPr="00690985" w:rsidRDefault="000C0298" w:rsidP="00866EB9">
            <w:pPr>
              <w:pStyle w:val="ADYNAAbstrac"/>
              <w:rPr>
                <w:b/>
              </w:rPr>
            </w:pPr>
          </w:p>
          <w:p w14:paraId="27D46C0D" w14:textId="77777777" w:rsidR="00866EB9" w:rsidRPr="003A1AF9" w:rsidRDefault="00866EB9" w:rsidP="00866EB9">
            <w:pPr>
              <w:pStyle w:val="ADYNAAbstrac"/>
              <w:rPr>
                <w:b/>
                <w:lang w:val="es-ES_tradnl"/>
              </w:rPr>
            </w:pPr>
            <w:r w:rsidRPr="003A1AF9">
              <w:rPr>
                <w:b/>
                <w:lang w:val="es-ES_tradnl"/>
              </w:rPr>
              <w:t>Resumen</w:t>
            </w:r>
          </w:p>
          <w:p w14:paraId="1B4201E5" w14:textId="77777777" w:rsidR="00866EB9" w:rsidRPr="003A1AF9" w:rsidRDefault="00F6303B" w:rsidP="00866EB9">
            <w:pPr>
              <w:pStyle w:val="ADYNAAbstrac"/>
              <w:rPr>
                <w:lang w:val="es-ES_tradnl"/>
              </w:rPr>
            </w:pPr>
            <w:r w:rsidRPr="00F6303B">
              <w:rPr>
                <w:lang w:val="es-ES_tradnl"/>
              </w:rPr>
              <w:t>Est</w:t>
            </w:r>
            <w:r>
              <w:rPr>
                <w:lang w:val="es-ES_tradnl"/>
              </w:rPr>
              <w:t>e</w:t>
            </w:r>
            <w:r w:rsidRPr="00F6303B">
              <w:rPr>
                <w:lang w:val="es-ES_tradnl"/>
              </w:rPr>
              <w:t xml:space="preserve"> </w:t>
            </w:r>
            <w:r>
              <w:rPr>
                <w:lang w:val="es-ES_tradnl"/>
              </w:rPr>
              <w:t xml:space="preserve">instructivo es una guía de </w:t>
            </w:r>
            <w:r w:rsidRPr="00F6303B">
              <w:rPr>
                <w:lang w:val="es-ES_tradnl"/>
              </w:rPr>
              <w:t xml:space="preserve">pautas para preparar </w:t>
            </w:r>
            <w:r w:rsidR="00EF5503">
              <w:rPr>
                <w:lang w:val="es-ES_tradnl"/>
              </w:rPr>
              <w:t xml:space="preserve">el </w:t>
            </w:r>
            <w:r>
              <w:rPr>
                <w:lang w:val="es-ES_tradnl"/>
              </w:rPr>
              <w:t xml:space="preserve">manuscrito </w:t>
            </w:r>
            <w:r w:rsidR="00EF5503">
              <w:rPr>
                <w:lang w:val="es-ES_tradnl"/>
              </w:rPr>
              <w:t xml:space="preserve">de artículos </w:t>
            </w:r>
            <w:r w:rsidR="003B2AF1">
              <w:rPr>
                <w:lang w:val="es-ES_tradnl"/>
              </w:rPr>
              <w:t>para BISTUA. Use este</w:t>
            </w:r>
            <w:r w:rsidRPr="00F6303B">
              <w:rPr>
                <w:lang w:val="es-ES_tradnl"/>
              </w:rPr>
              <w:t xml:space="preserve"> documento como plantilla en Microsoft Word. El manuscrito debe estar escrito en español o inglés. La longitud del manuscrito </w:t>
            </w:r>
            <w:r w:rsidR="00351516">
              <w:rPr>
                <w:lang w:val="es-ES_tradnl"/>
              </w:rPr>
              <w:t xml:space="preserve">no </w:t>
            </w:r>
            <w:r w:rsidRPr="00F6303B">
              <w:rPr>
                <w:lang w:val="es-ES_tradnl"/>
              </w:rPr>
              <w:t xml:space="preserve">debe </w:t>
            </w:r>
            <w:r w:rsidR="00351516">
              <w:rPr>
                <w:lang w:val="es-ES_tradnl"/>
              </w:rPr>
              <w:t xml:space="preserve">superar </w:t>
            </w:r>
            <w:r w:rsidRPr="00F6303B">
              <w:rPr>
                <w:lang w:val="es-ES_tradnl"/>
              </w:rPr>
              <w:t>7 páginas.</w:t>
            </w:r>
            <w:r>
              <w:rPr>
                <w:lang w:val="es-ES_tradnl"/>
              </w:rPr>
              <w:t xml:space="preserve"> </w:t>
            </w:r>
            <w:r w:rsidR="003A1AF9" w:rsidRPr="003A1AF9">
              <w:rPr>
                <w:lang w:val="es-ES_tradnl"/>
              </w:rPr>
              <w:t xml:space="preserve">Se debe </w:t>
            </w:r>
            <w:r w:rsidR="00351516">
              <w:rPr>
                <w:lang w:val="es-ES_tradnl"/>
              </w:rPr>
              <w:t>mantener</w:t>
            </w:r>
            <w:r w:rsidR="003A1AF9" w:rsidRPr="003A1AF9">
              <w:rPr>
                <w:lang w:val="es-ES_tradnl"/>
              </w:rPr>
              <w:t xml:space="preserve"> </w:t>
            </w:r>
            <w:r w:rsidR="00351516">
              <w:rPr>
                <w:lang w:val="es-ES_tradnl"/>
              </w:rPr>
              <w:t>la totalidad d</w:t>
            </w:r>
            <w:r w:rsidR="003A1AF9" w:rsidRPr="003A1AF9">
              <w:rPr>
                <w:lang w:val="es-ES_tradnl"/>
              </w:rPr>
              <w:t xml:space="preserve">el estilo </w:t>
            </w:r>
            <w:r w:rsidR="00351516">
              <w:rPr>
                <w:lang w:val="es-ES_tradnl"/>
              </w:rPr>
              <w:t>de esta plantilla</w:t>
            </w:r>
            <w:r w:rsidR="003A1AF9" w:rsidRPr="003A1AF9">
              <w:rPr>
                <w:lang w:val="es-ES_tradnl"/>
              </w:rPr>
              <w:t xml:space="preserve">. </w:t>
            </w:r>
            <w:r w:rsidR="0047542F">
              <w:rPr>
                <w:lang w:val="es-ES_tradnl"/>
              </w:rPr>
              <w:t xml:space="preserve">El estilo de tipo de letra de la totalidad del manuscrito es </w:t>
            </w:r>
            <w:r w:rsidR="00E83623" w:rsidRPr="003A1AF9">
              <w:rPr>
                <w:lang w:val="es-ES_tradnl"/>
              </w:rPr>
              <w:t xml:space="preserve">Times New </w:t>
            </w:r>
            <w:proofErr w:type="spellStart"/>
            <w:r w:rsidR="00866EB9" w:rsidRPr="003A1AF9">
              <w:rPr>
                <w:lang w:val="es-ES_tradnl"/>
              </w:rPr>
              <w:t>Roman</w:t>
            </w:r>
            <w:proofErr w:type="spellEnd"/>
            <w:r w:rsidR="0047542F">
              <w:rPr>
                <w:lang w:val="es-ES_tradnl"/>
              </w:rPr>
              <w:t>; note que en cada aparte del manuscrito hay cambios en el tamaño y formato del texto (negrilla y cursiva).</w:t>
            </w:r>
            <w:r w:rsidR="00866EB9" w:rsidRPr="003A1AF9">
              <w:rPr>
                <w:lang w:val="es-ES_tradnl"/>
              </w:rPr>
              <w:t xml:space="preserve"> </w:t>
            </w:r>
            <w:r w:rsidR="0047542F">
              <w:rPr>
                <w:lang w:val="es-ES_tradnl"/>
              </w:rPr>
              <w:t xml:space="preserve">Por ejemplo, el título tiene </w:t>
            </w:r>
            <w:r w:rsidR="00866EB9" w:rsidRPr="003A1AF9">
              <w:rPr>
                <w:lang w:val="es-ES_tradnl"/>
              </w:rPr>
              <w:t xml:space="preserve">tamaño </w:t>
            </w:r>
            <w:r w:rsidR="0047542F">
              <w:rPr>
                <w:lang w:val="es-ES_tradnl"/>
              </w:rPr>
              <w:t>16</w:t>
            </w:r>
            <w:r w:rsidR="00866EB9" w:rsidRPr="003A1AF9">
              <w:rPr>
                <w:lang w:val="es-ES_tradnl"/>
              </w:rPr>
              <w:t xml:space="preserve">, </w:t>
            </w:r>
            <w:r w:rsidR="0047542F">
              <w:rPr>
                <w:lang w:val="es-ES_tradnl"/>
              </w:rPr>
              <w:t>negrilla, alineación izquierda</w:t>
            </w:r>
            <w:r w:rsidR="00FC2C83">
              <w:rPr>
                <w:lang w:val="es-ES_tradnl"/>
              </w:rPr>
              <w:t xml:space="preserve">. Este resumen tiene </w:t>
            </w:r>
            <w:r w:rsidR="00866EB9" w:rsidRPr="003A1AF9">
              <w:rPr>
                <w:lang w:val="es-ES_tradnl"/>
              </w:rPr>
              <w:t xml:space="preserve">la palabra Resumen en negrilla, </w:t>
            </w:r>
            <w:r w:rsidR="00FC2C83">
              <w:rPr>
                <w:lang w:val="es-ES_tradnl"/>
              </w:rPr>
              <w:t>tamaño 9</w:t>
            </w:r>
            <w:r w:rsidR="00866EB9" w:rsidRPr="003A1AF9">
              <w:rPr>
                <w:lang w:val="es-ES_tradnl"/>
              </w:rPr>
              <w:t xml:space="preserve">. La longitud </w:t>
            </w:r>
            <w:r w:rsidR="00FC2C83">
              <w:rPr>
                <w:lang w:val="es-ES_tradnl"/>
              </w:rPr>
              <w:t xml:space="preserve">máxima </w:t>
            </w:r>
            <w:r w:rsidR="00866EB9" w:rsidRPr="003A1AF9">
              <w:rPr>
                <w:lang w:val="es-ES_tradnl"/>
              </w:rPr>
              <w:t xml:space="preserve">del resumen no </w:t>
            </w:r>
            <w:r w:rsidR="00FC2C83">
              <w:rPr>
                <w:lang w:val="es-ES_tradnl"/>
              </w:rPr>
              <w:t xml:space="preserve">debe </w:t>
            </w:r>
            <w:r w:rsidR="00866EB9" w:rsidRPr="003A1AF9">
              <w:rPr>
                <w:lang w:val="es-ES_tradnl"/>
              </w:rPr>
              <w:t>excede</w:t>
            </w:r>
            <w:r w:rsidR="00FC2C83">
              <w:rPr>
                <w:lang w:val="es-ES_tradnl"/>
              </w:rPr>
              <w:t>r</w:t>
            </w:r>
            <w:r w:rsidR="00866EB9" w:rsidRPr="003A1AF9">
              <w:rPr>
                <w:lang w:val="es-ES_tradnl"/>
              </w:rPr>
              <w:t xml:space="preserve"> </w:t>
            </w:r>
            <w:r w:rsidR="003A1AF9" w:rsidRPr="003A1AF9">
              <w:rPr>
                <w:lang w:val="es-ES_tradnl"/>
              </w:rPr>
              <w:t>30</w:t>
            </w:r>
            <w:r w:rsidR="00866EB9" w:rsidRPr="003A1AF9">
              <w:rPr>
                <w:lang w:val="es-ES_tradnl"/>
              </w:rPr>
              <w:t xml:space="preserve">0 palabras. </w:t>
            </w:r>
            <w:r w:rsidR="00FC2C83">
              <w:rPr>
                <w:lang w:val="es-ES_tradnl"/>
              </w:rPr>
              <w:t>L</w:t>
            </w:r>
            <w:r w:rsidR="00866EB9" w:rsidRPr="003A1AF9">
              <w:rPr>
                <w:lang w:val="es-ES_tradnl"/>
              </w:rPr>
              <w:t>as palabras clave están separadas por un punto y coma.</w:t>
            </w:r>
          </w:p>
          <w:p w14:paraId="4E4F797E" w14:textId="77777777" w:rsidR="00866EB9" w:rsidRPr="003A1AF9" w:rsidRDefault="00866EB9" w:rsidP="00EF42AD">
            <w:pPr>
              <w:rPr>
                <w:szCs w:val="20"/>
                <w:lang w:val="es-ES_tradnl"/>
              </w:rPr>
            </w:pPr>
          </w:p>
          <w:p w14:paraId="59F4C5AB" w14:textId="77777777" w:rsidR="00866EB9" w:rsidRPr="00690985" w:rsidRDefault="00866EB9" w:rsidP="00AB5360">
            <w:pPr>
              <w:pStyle w:val="ADYNAAbstrac"/>
              <w:rPr>
                <w:lang w:val="es-ES_tradnl"/>
              </w:rPr>
            </w:pPr>
            <w:r w:rsidRPr="00FC2C83">
              <w:rPr>
                <w:b/>
                <w:i/>
                <w:lang w:val="es-ES_tradnl"/>
              </w:rPr>
              <w:t>Palabras clave</w:t>
            </w:r>
            <w:r w:rsidRPr="00FC2C83">
              <w:rPr>
                <w:b/>
                <w:lang w:val="es-ES_tradnl"/>
              </w:rPr>
              <w:t>:</w:t>
            </w:r>
            <w:r w:rsidRPr="003A1AF9">
              <w:rPr>
                <w:lang w:val="es-ES_tradnl"/>
              </w:rPr>
              <w:t xml:space="preserve"> formato del manuscrito; </w:t>
            </w:r>
            <w:r w:rsidR="00AB5360">
              <w:rPr>
                <w:lang w:val="es-ES_tradnl"/>
              </w:rPr>
              <w:t>Instrucciones</w:t>
            </w:r>
            <w:r w:rsidRPr="003A1AF9">
              <w:rPr>
                <w:lang w:val="es-ES_tradnl"/>
              </w:rPr>
              <w:t>.</w:t>
            </w:r>
          </w:p>
        </w:tc>
        <w:tc>
          <w:tcPr>
            <w:tcW w:w="4960" w:type="dxa"/>
            <w:tcBorders>
              <w:right w:val="nil"/>
            </w:tcBorders>
          </w:tcPr>
          <w:p w14:paraId="1E50045E" w14:textId="77777777" w:rsidR="00874029" w:rsidRPr="00690985" w:rsidRDefault="00874029" w:rsidP="00EF42AD">
            <w:pPr>
              <w:rPr>
                <w:szCs w:val="20"/>
                <w:lang w:val="es-CO"/>
              </w:rPr>
            </w:pPr>
          </w:p>
          <w:p w14:paraId="7EC45C6B" w14:textId="77777777" w:rsidR="00866EB9" w:rsidRPr="00690985" w:rsidRDefault="00866EB9" w:rsidP="00866EB9">
            <w:pPr>
              <w:pStyle w:val="ADYNAAbstrac"/>
              <w:rPr>
                <w:b/>
              </w:rPr>
            </w:pPr>
            <w:r w:rsidRPr="00690985">
              <w:rPr>
                <w:b/>
              </w:rPr>
              <w:t>Abstract</w:t>
            </w:r>
          </w:p>
          <w:p w14:paraId="4E1A5FA5" w14:textId="77777777" w:rsidR="00866EB9" w:rsidRPr="00690985" w:rsidRDefault="00F6303B" w:rsidP="00EF42AD">
            <w:pPr>
              <w:rPr>
                <w:szCs w:val="20"/>
                <w:lang w:val="en-US"/>
              </w:rPr>
            </w:pPr>
            <w:r w:rsidRPr="00F6303B">
              <w:rPr>
                <w:lang w:val="en-US"/>
              </w:rPr>
              <w:t xml:space="preserve">This instruction gives you guidelines for preparing papers for </w:t>
            </w:r>
            <w:r>
              <w:rPr>
                <w:lang w:val="en-US"/>
              </w:rPr>
              <w:t>BISTUA</w:t>
            </w:r>
            <w:r w:rsidRPr="00F6303B">
              <w:rPr>
                <w:lang w:val="en-US"/>
              </w:rPr>
              <w:t>. Use this document as a template in Microsoft Word. The manuscript must b</w:t>
            </w:r>
            <w:r>
              <w:rPr>
                <w:lang w:val="en-US"/>
              </w:rPr>
              <w:t>e written in Spanish or English</w:t>
            </w:r>
            <w:r w:rsidRPr="00F6303B">
              <w:rPr>
                <w:lang w:val="en-US"/>
              </w:rPr>
              <w:t xml:space="preserve">. The length of the manuscript should be kept within </w:t>
            </w:r>
            <w:r>
              <w:rPr>
                <w:lang w:val="en-US"/>
              </w:rPr>
              <w:t>7</w:t>
            </w:r>
            <w:r w:rsidRPr="00F6303B">
              <w:rPr>
                <w:lang w:val="en-US"/>
              </w:rPr>
              <w:t xml:space="preserve"> pages.</w:t>
            </w:r>
            <w:r>
              <w:rPr>
                <w:lang w:val="en-US"/>
              </w:rPr>
              <w:t xml:space="preserve"> </w:t>
            </w:r>
            <w:r w:rsidR="00351516" w:rsidRPr="00351516">
              <w:rPr>
                <w:lang w:val="en-US"/>
              </w:rPr>
              <w:t>The entire style of this template must be maintained</w:t>
            </w:r>
            <w:r w:rsidR="005550A1" w:rsidRPr="005550A1">
              <w:rPr>
                <w:lang w:val="en-US"/>
              </w:rPr>
              <w:t>. The font style of the entire manuscript is Times New Roman; Note that in each part of the manuscript there are changes in the size and format of the text (bold and italic). For example, the title is size 16, bold, left aligned. This abstract has the word Abstract in bold, size 9. The maximum length of the abstract should not exceed 300 words. Keywords are separated by a semicolon.</w:t>
            </w:r>
          </w:p>
          <w:p w14:paraId="64D410A2" w14:textId="77777777" w:rsidR="000C0298" w:rsidRPr="00690985" w:rsidRDefault="000C0298" w:rsidP="00866EB9">
            <w:pPr>
              <w:pStyle w:val="ADYNAAbstrac"/>
              <w:rPr>
                <w:i/>
              </w:rPr>
            </w:pPr>
          </w:p>
          <w:p w14:paraId="368F12EF" w14:textId="77777777" w:rsidR="00554EC5" w:rsidRDefault="00554EC5" w:rsidP="00866EB9">
            <w:pPr>
              <w:pStyle w:val="ADYNAAbstrac"/>
              <w:rPr>
                <w:b/>
                <w:i/>
              </w:rPr>
            </w:pPr>
          </w:p>
          <w:p w14:paraId="29D62CDF" w14:textId="77777777" w:rsidR="00866EB9" w:rsidRPr="00690985" w:rsidRDefault="00866EB9" w:rsidP="00866EB9">
            <w:pPr>
              <w:pStyle w:val="ADYNAAbstrac"/>
            </w:pPr>
            <w:r w:rsidRPr="00FC2C83">
              <w:rPr>
                <w:b/>
                <w:i/>
              </w:rPr>
              <w:t>Keywords</w:t>
            </w:r>
            <w:r w:rsidRPr="00FC2C83">
              <w:rPr>
                <w:b/>
              </w:rPr>
              <w:t>:</w:t>
            </w:r>
            <w:r w:rsidRPr="00690985">
              <w:t xml:space="preserve"> manuscript formatting; </w:t>
            </w:r>
            <w:r w:rsidR="00AB5360">
              <w:t>Instructions</w:t>
            </w:r>
            <w:r w:rsidRPr="00690985">
              <w:t>.</w:t>
            </w:r>
          </w:p>
          <w:p w14:paraId="18843CE2" w14:textId="77777777" w:rsidR="00866EB9" w:rsidRPr="00690985" w:rsidRDefault="00866EB9" w:rsidP="00EF42AD">
            <w:pPr>
              <w:rPr>
                <w:szCs w:val="20"/>
                <w:lang w:val="en-US"/>
              </w:rPr>
            </w:pPr>
          </w:p>
        </w:tc>
      </w:tr>
    </w:tbl>
    <w:p w14:paraId="099E7DD6" w14:textId="77777777" w:rsidR="00866EB9" w:rsidRPr="00690985" w:rsidRDefault="00866EB9" w:rsidP="00EF42AD">
      <w:pPr>
        <w:rPr>
          <w:szCs w:val="20"/>
          <w:lang w:val="en-US"/>
        </w:rPr>
      </w:pPr>
    </w:p>
    <w:p w14:paraId="204E351D" w14:textId="77777777" w:rsidR="00866EB9" w:rsidRPr="00690985" w:rsidRDefault="00866EB9" w:rsidP="00EF42AD">
      <w:pPr>
        <w:rPr>
          <w:szCs w:val="20"/>
          <w:lang w:val="en-US"/>
        </w:rPr>
      </w:pPr>
    </w:p>
    <w:p w14:paraId="7358601D" w14:textId="77777777" w:rsidR="00866EB9" w:rsidRPr="00690985" w:rsidRDefault="00866EB9" w:rsidP="00EF42AD">
      <w:pPr>
        <w:rPr>
          <w:szCs w:val="20"/>
          <w:lang w:val="en-US"/>
        </w:rPr>
      </w:pPr>
    </w:p>
    <w:p w14:paraId="206C3CC9" w14:textId="77777777" w:rsidR="00B17492" w:rsidRPr="00690985" w:rsidRDefault="00B17492" w:rsidP="00EF42AD">
      <w:pPr>
        <w:rPr>
          <w:szCs w:val="20"/>
          <w:lang w:val="en-US"/>
        </w:rPr>
        <w:sectPr w:rsidR="00B17492" w:rsidRPr="00690985" w:rsidSect="000D189E">
          <w:headerReference w:type="default" r:id="rId9"/>
          <w:footerReference w:type="even" r:id="rId10"/>
          <w:footerReference w:type="default" r:id="rId11"/>
          <w:headerReference w:type="first" r:id="rId12"/>
          <w:footerReference w:type="first" r:id="rId13"/>
          <w:pgSz w:w="12242" w:h="15842" w:code="1"/>
          <w:pgMar w:top="1247" w:right="958" w:bottom="1247" w:left="958" w:header="731" w:footer="794" w:gutter="397"/>
          <w:cols w:sep="1" w:space="720"/>
          <w:titlePg/>
          <w:docGrid w:linePitch="360"/>
        </w:sectPr>
      </w:pPr>
    </w:p>
    <w:p w14:paraId="7364B56C" w14:textId="77777777" w:rsidR="00B17492" w:rsidRPr="00F708A9" w:rsidRDefault="00981BA0" w:rsidP="007C5FBB">
      <w:pPr>
        <w:pStyle w:val="ADYNATitulo1"/>
        <w:rPr>
          <w:rFonts w:cs="Times New Roman"/>
          <w:sz w:val="20"/>
          <w:lang w:val="es-CO"/>
        </w:rPr>
      </w:pPr>
      <w:r w:rsidRPr="00F708A9">
        <w:rPr>
          <w:rFonts w:cs="Times New Roman"/>
          <w:sz w:val="20"/>
          <w:lang w:val="es-CO"/>
        </w:rPr>
        <w:t xml:space="preserve">1 </w:t>
      </w:r>
      <w:r w:rsidR="00F708A9" w:rsidRPr="00804511">
        <w:rPr>
          <w:rFonts w:cs="Times New Roman"/>
          <w:sz w:val="22"/>
          <w:lang w:val="es-CO"/>
        </w:rPr>
        <w:t>Preparación del manuscrito</w:t>
      </w:r>
    </w:p>
    <w:p w14:paraId="7990D83B" w14:textId="77777777" w:rsidR="00CD6899" w:rsidRPr="00F708A9" w:rsidRDefault="00CD6899" w:rsidP="00CD6899">
      <w:pPr>
        <w:rPr>
          <w:sz w:val="20"/>
          <w:lang w:val="es-CO"/>
        </w:rPr>
      </w:pPr>
    </w:p>
    <w:p w14:paraId="44C45422" w14:textId="77777777" w:rsidR="00F708A9" w:rsidRPr="00F708A9" w:rsidRDefault="00F708A9" w:rsidP="00F708A9">
      <w:pPr>
        <w:rPr>
          <w:spacing w:val="-5"/>
          <w:sz w:val="20"/>
          <w:szCs w:val="20"/>
          <w:lang w:val="es-CO"/>
        </w:rPr>
      </w:pPr>
      <w:r w:rsidRPr="00F708A9">
        <w:rPr>
          <w:spacing w:val="-5"/>
          <w:sz w:val="20"/>
          <w:szCs w:val="20"/>
          <w:lang w:val="es-CO"/>
        </w:rPr>
        <w:t xml:space="preserve">El manuscrito presentado debe prepararse estrictamente de acuerdo con las pautas presentadas en este documento. Aceptamos </w:t>
      </w:r>
      <w:r>
        <w:rPr>
          <w:spacing w:val="-5"/>
          <w:sz w:val="20"/>
          <w:szCs w:val="20"/>
          <w:lang w:val="es-CO"/>
        </w:rPr>
        <w:t xml:space="preserve">el documento en </w:t>
      </w:r>
      <w:r w:rsidR="003B2AF1">
        <w:rPr>
          <w:spacing w:val="-5"/>
          <w:sz w:val="20"/>
          <w:szCs w:val="20"/>
          <w:lang w:val="es-CO"/>
        </w:rPr>
        <w:t xml:space="preserve">editores de texto </w:t>
      </w:r>
      <w:r w:rsidRPr="00F708A9">
        <w:rPr>
          <w:spacing w:val="-5"/>
          <w:sz w:val="20"/>
          <w:szCs w:val="20"/>
          <w:lang w:val="es-CO"/>
        </w:rPr>
        <w:t>MS Word (97 o superior)</w:t>
      </w:r>
      <w:r w:rsidR="003B2AF1">
        <w:rPr>
          <w:spacing w:val="-5"/>
          <w:sz w:val="20"/>
          <w:szCs w:val="20"/>
          <w:lang w:val="es-CO"/>
        </w:rPr>
        <w:t xml:space="preserve">, </w:t>
      </w:r>
      <w:proofErr w:type="spellStart"/>
      <w:r w:rsidR="00D532C8">
        <w:rPr>
          <w:spacing w:val="-5"/>
          <w:sz w:val="20"/>
          <w:szCs w:val="20"/>
          <w:lang w:val="es-CO"/>
        </w:rPr>
        <w:t>L</w:t>
      </w:r>
      <w:r w:rsidR="003B2AF1">
        <w:rPr>
          <w:spacing w:val="-5"/>
          <w:sz w:val="20"/>
          <w:szCs w:val="20"/>
          <w:lang w:val="es-CO"/>
        </w:rPr>
        <w:t>atex</w:t>
      </w:r>
      <w:proofErr w:type="spellEnd"/>
      <w:r w:rsidR="003B2AF1">
        <w:rPr>
          <w:spacing w:val="-5"/>
          <w:sz w:val="20"/>
          <w:szCs w:val="20"/>
          <w:lang w:val="es-CO"/>
        </w:rPr>
        <w:t xml:space="preserve"> o cualquier editor siempre que conserve las características de esta plantilla</w:t>
      </w:r>
      <w:r w:rsidRPr="00F708A9">
        <w:rPr>
          <w:spacing w:val="-5"/>
          <w:sz w:val="20"/>
          <w:szCs w:val="20"/>
          <w:lang w:val="es-CO"/>
        </w:rPr>
        <w:t>. El texto del manuscrito debe escribirse dentro del área de</w:t>
      </w:r>
      <w:r w:rsidR="002D29CB">
        <w:rPr>
          <w:spacing w:val="-5"/>
          <w:sz w:val="20"/>
          <w:szCs w:val="20"/>
          <w:lang w:val="es-CO"/>
        </w:rPr>
        <w:t xml:space="preserve"> </w:t>
      </w:r>
      <w:r w:rsidR="00AB5360">
        <w:rPr>
          <w:spacing w:val="-5"/>
          <w:sz w:val="20"/>
          <w:szCs w:val="20"/>
          <w:lang w:val="es-CO"/>
        </w:rPr>
        <w:t>2159</w:t>
      </w:r>
      <w:r w:rsidRPr="00F708A9">
        <w:rPr>
          <w:spacing w:val="-5"/>
          <w:sz w:val="20"/>
          <w:szCs w:val="20"/>
          <w:lang w:val="es-CO"/>
        </w:rPr>
        <w:t xml:space="preserve"> mm x </w:t>
      </w:r>
      <w:r w:rsidR="00AB5360">
        <w:rPr>
          <w:spacing w:val="-5"/>
          <w:sz w:val="20"/>
          <w:szCs w:val="20"/>
          <w:lang w:val="es-CO"/>
        </w:rPr>
        <w:t>2794</w:t>
      </w:r>
      <w:r w:rsidRPr="00F708A9">
        <w:rPr>
          <w:spacing w:val="-5"/>
          <w:sz w:val="20"/>
          <w:szCs w:val="20"/>
          <w:lang w:val="es-CO"/>
        </w:rPr>
        <w:t xml:space="preserve"> mm</w:t>
      </w:r>
      <w:r w:rsidR="003B2AF1">
        <w:rPr>
          <w:spacing w:val="-5"/>
          <w:sz w:val="20"/>
          <w:szCs w:val="20"/>
          <w:lang w:val="es-CO"/>
        </w:rPr>
        <w:t xml:space="preserve"> (tamaño </w:t>
      </w:r>
      <w:r w:rsidR="00CA055B">
        <w:rPr>
          <w:spacing w:val="-5"/>
          <w:sz w:val="20"/>
          <w:szCs w:val="20"/>
          <w:lang w:val="es-CO"/>
        </w:rPr>
        <w:t>carta</w:t>
      </w:r>
      <w:r w:rsidRPr="00F708A9">
        <w:rPr>
          <w:spacing w:val="-5"/>
          <w:sz w:val="20"/>
          <w:szCs w:val="20"/>
          <w:lang w:val="es-CO"/>
        </w:rPr>
        <w:t xml:space="preserve"> estándar</w:t>
      </w:r>
      <w:r w:rsidR="003B2AF1">
        <w:rPr>
          <w:spacing w:val="-5"/>
          <w:sz w:val="20"/>
          <w:szCs w:val="20"/>
          <w:lang w:val="es-CO"/>
        </w:rPr>
        <w:t xml:space="preserve">). Los márgenes son los que tiene esta plantilla. </w:t>
      </w:r>
      <w:r w:rsidRPr="00F708A9">
        <w:rPr>
          <w:spacing w:val="-5"/>
          <w:sz w:val="20"/>
          <w:szCs w:val="20"/>
          <w:lang w:val="es-CO"/>
        </w:rPr>
        <w:t>El documento debe escribirse a espacio simple</w:t>
      </w:r>
      <w:r w:rsidR="00831EEB">
        <w:rPr>
          <w:spacing w:val="-5"/>
          <w:sz w:val="20"/>
          <w:szCs w:val="20"/>
          <w:lang w:val="es-CO"/>
        </w:rPr>
        <w:t xml:space="preserve"> utilizando la fuente Times New </w:t>
      </w:r>
      <w:proofErr w:type="spellStart"/>
      <w:r w:rsidRPr="00F708A9">
        <w:rPr>
          <w:spacing w:val="-5"/>
          <w:sz w:val="20"/>
          <w:szCs w:val="20"/>
          <w:lang w:val="es-CO"/>
        </w:rPr>
        <w:t>Roman</w:t>
      </w:r>
      <w:proofErr w:type="spellEnd"/>
      <w:r w:rsidR="003B2AF1">
        <w:rPr>
          <w:spacing w:val="-5"/>
          <w:sz w:val="20"/>
          <w:szCs w:val="20"/>
          <w:lang w:val="es-CO"/>
        </w:rPr>
        <w:t xml:space="preserve">, conservando los tamaños de letra establecidos en esta plantilla. Por ejemplo, el texto del cuerpo del artículo debe ser de </w:t>
      </w:r>
      <w:r w:rsidRPr="00F708A9">
        <w:rPr>
          <w:spacing w:val="-5"/>
          <w:sz w:val="20"/>
          <w:szCs w:val="20"/>
          <w:lang w:val="es-CO"/>
        </w:rPr>
        <w:t>10 puntos, el título debe ser de 16 puntos</w:t>
      </w:r>
      <w:r w:rsidR="003B2AF1">
        <w:rPr>
          <w:spacing w:val="-5"/>
          <w:sz w:val="20"/>
          <w:szCs w:val="20"/>
          <w:lang w:val="es-CO"/>
        </w:rPr>
        <w:t>;</w:t>
      </w:r>
      <w:r w:rsidRPr="00F708A9">
        <w:rPr>
          <w:spacing w:val="-5"/>
          <w:sz w:val="20"/>
          <w:szCs w:val="20"/>
          <w:lang w:val="es-CO"/>
        </w:rPr>
        <w:t xml:space="preserve"> el resumen</w:t>
      </w:r>
      <w:r w:rsidR="003B2AF1">
        <w:rPr>
          <w:spacing w:val="-5"/>
          <w:sz w:val="20"/>
          <w:szCs w:val="20"/>
          <w:lang w:val="es-CO"/>
        </w:rPr>
        <w:t xml:space="preserve">, </w:t>
      </w:r>
      <w:r w:rsidRPr="00F708A9">
        <w:rPr>
          <w:spacing w:val="-5"/>
          <w:sz w:val="20"/>
          <w:szCs w:val="20"/>
          <w:lang w:val="es-CO"/>
        </w:rPr>
        <w:t>los títulos de las figuras y las referencias deben ser de 8 puntos.</w:t>
      </w:r>
    </w:p>
    <w:p w14:paraId="3ADC6A34" w14:textId="77777777" w:rsidR="003510F4" w:rsidRDefault="003510F4" w:rsidP="00F708A9">
      <w:pPr>
        <w:rPr>
          <w:spacing w:val="-5"/>
          <w:sz w:val="20"/>
          <w:szCs w:val="20"/>
          <w:lang w:val="es-CO"/>
        </w:rPr>
      </w:pPr>
    </w:p>
    <w:p w14:paraId="34E31C2A" w14:textId="77777777" w:rsidR="003510F4" w:rsidRDefault="003510F4" w:rsidP="00F708A9">
      <w:pPr>
        <w:rPr>
          <w:spacing w:val="-5"/>
          <w:sz w:val="20"/>
          <w:szCs w:val="20"/>
          <w:lang w:val="es-CO"/>
        </w:rPr>
      </w:pPr>
    </w:p>
    <w:p w14:paraId="07BC57D8" w14:textId="77777777" w:rsidR="003510F4" w:rsidRDefault="003510F4" w:rsidP="00F708A9">
      <w:pPr>
        <w:rPr>
          <w:spacing w:val="-5"/>
          <w:sz w:val="20"/>
          <w:szCs w:val="20"/>
          <w:lang w:val="es-CO"/>
        </w:rPr>
      </w:pPr>
    </w:p>
    <w:p w14:paraId="5F82B21D" w14:textId="77777777" w:rsidR="00CD6899" w:rsidRPr="00554C8B" w:rsidRDefault="00F708A9" w:rsidP="00F708A9">
      <w:pPr>
        <w:rPr>
          <w:spacing w:val="-5"/>
          <w:sz w:val="20"/>
          <w:szCs w:val="20"/>
          <w:lang w:val="es-CO"/>
        </w:rPr>
      </w:pPr>
      <w:r w:rsidRPr="00F708A9">
        <w:rPr>
          <w:spacing w:val="-5"/>
          <w:sz w:val="20"/>
          <w:szCs w:val="20"/>
          <w:lang w:val="es-CO"/>
        </w:rPr>
        <w:t xml:space="preserve">El título del artículo debe escribirse en minúsculas. Utilice caracteres de superíndice para hacer referencia a los nombres de las afiliaciones de los autores, que deben escribirse en letra cursiva después de los nombres de los autores. Indique también la dirección de correo electrónico del autor </w:t>
      </w:r>
      <w:r w:rsidR="00554C8B">
        <w:rPr>
          <w:spacing w:val="-5"/>
          <w:sz w:val="20"/>
          <w:szCs w:val="20"/>
          <w:lang w:val="es-CO"/>
        </w:rPr>
        <w:t xml:space="preserve">responsable de la </w:t>
      </w:r>
      <w:r w:rsidR="00554C8B">
        <w:rPr>
          <w:spacing w:val="-5"/>
          <w:sz w:val="20"/>
          <w:szCs w:val="20"/>
          <w:lang w:val="es-CO"/>
        </w:rPr>
        <w:t>correspondencia</w:t>
      </w:r>
      <w:r w:rsidRPr="00F708A9">
        <w:rPr>
          <w:spacing w:val="-5"/>
          <w:sz w:val="20"/>
          <w:szCs w:val="20"/>
          <w:lang w:val="es-CO"/>
        </w:rPr>
        <w:t>.</w:t>
      </w:r>
      <w:r>
        <w:rPr>
          <w:spacing w:val="-5"/>
          <w:sz w:val="20"/>
          <w:szCs w:val="20"/>
          <w:lang w:val="es-CO"/>
        </w:rPr>
        <w:t xml:space="preserve"> </w:t>
      </w:r>
      <w:r w:rsidR="00554C8B">
        <w:rPr>
          <w:spacing w:val="-5"/>
          <w:sz w:val="20"/>
          <w:szCs w:val="20"/>
          <w:lang w:val="es-CO"/>
        </w:rPr>
        <w:t xml:space="preserve">En general, </w:t>
      </w:r>
      <w:r w:rsidR="00920150">
        <w:rPr>
          <w:spacing w:val="-5"/>
          <w:sz w:val="20"/>
          <w:szCs w:val="20"/>
          <w:lang w:val="es-CO"/>
        </w:rPr>
        <w:t xml:space="preserve">para un artículo completo, </w:t>
      </w:r>
      <w:r w:rsidR="00554C8B">
        <w:rPr>
          <w:spacing w:val="-5"/>
          <w:sz w:val="20"/>
          <w:szCs w:val="20"/>
          <w:lang w:val="es-CO"/>
        </w:rPr>
        <w:t xml:space="preserve">el cuerpo del trabajo deberá contener </w:t>
      </w:r>
      <w:r w:rsidR="00920150">
        <w:rPr>
          <w:spacing w:val="-5"/>
          <w:sz w:val="20"/>
          <w:szCs w:val="20"/>
          <w:lang w:val="es-CO"/>
        </w:rPr>
        <w:t xml:space="preserve">los apartes de </w:t>
      </w:r>
      <w:r w:rsidR="00554C8B">
        <w:rPr>
          <w:spacing w:val="-5"/>
          <w:sz w:val="20"/>
          <w:szCs w:val="20"/>
          <w:lang w:val="es-CO"/>
        </w:rPr>
        <w:t>Introducción, Método, Resultados, Discusión y Conclusiones</w:t>
      </w:r>
      <w:r w:rsidR="00920150">
        <w:rPr>
          <w:spacing w:val="-5"/>
          <w:sz w:val="20"/>
          <w:szCs w:val="20"/>
          <w:lang w:val="es-CO"/>
        </w:rPr>
        <w:t xml:space="preserve">. </w:t>
      </w:r>
    </w:p>
    <w:p w14:paraId="33F7E8AA" w14:textId="77777777" w:rsidR="00CD6899" w:rsidRPr="00554C8B" w:rsidRDefault="00CD6899" w:rsidP="00B25DBB">
      <w:pPr>
        <w:rPr>
          <w:szCs w:val="20"/>
          <w:lang w:val="es-CO"/>
        </w:rPr>
      </w:pPr>
    </w:p>
    <w:p w14:paraId="48A58B56" w14:textId="77777777" w:rsidR="00CD6899" w:rsidRPr="00F8425D" w:rsidRDefault="003510F4" w:rsidP="007C5FBB">
      <w:pPr>
        <w:pStyle w:val="ADYNATitulo3"/>
        <w:rPr>
          <w:i/>
          <w:sz w:val="20"/>
          <w:lang w:val="es-CO"/>
        </w:rPr>
      </w:pPr>
      <w:r>
        <w:rPr>
          <w:i/>
          <w:sz w:val="20"/>
          <w:lang w:val="es-CO"/>
        </w:rPr>
        <w:t>1.2</w:t>
      </w:r>
      <w:r w:rsidR="0059674A" w:rsidRPr="002254E4">
        <w:rPr>
          <w:i/>
          <w:sz w:val="20"/>
          <w:lang w:val="es-CO"/>
        </w:rPr>
        <w:t xml:space="preserve"> </w:t>
      </w:r>
      <w:r w:rsidR="00554C8B" w:rsidRPr="00F8425D">
        <w:rPr>
          <w:i/>
          <w:sz w:val="20"/>
          <w:lang w:val="es-CO"/>
        </w:rPr>
        <w:t xml:space="preserve">Amplitud </w:t>
      </w:r>
      <w:r w:rsidR="00920150" w:rsidRPr="00F8425D">
        <w:rPr>
          <w:i/>
          <w:sz w:val="20"/>
          <w:lang w:val="es-CO"/>
        </w:rPr>
        <w:t>y categorías de</w:t>
      </w:r>
      <w:r w:rsidR="00554C8B" w:rsidRPr="00F8425D">
        <w:rPr>
          <w:i/>
          <w:sz w:val="20"/>
          <w:lang w:val="es-CO"/>
        </w:rPr>
        <w:t xml:space="preserve"> </w:t>
      </w:r>
      <w:r w:rsidR="00920150" w:rsidRPr="00F8425D">
        <w:rPr>
          <w:i/>
          <w:sz w:val="20"/>
          <w:lang w:val="es-CO"/>
        </w:rPr>
        <w:t>publicación</w:t>
      </w:r>
    </w:p>
    <w:p w14:paraId="11DF4A52" w14:textId="77777777" w:rsidR="00920150" w:rsidRDefault="00920150" w:rsidP="002254E4">
      <w:pPr>
        <w:rPr>
          <w:sz w:val="20"/>
          <w:szCs w:val="20"/>
          <w:lang w:val="es-CO"/>
        </w:rPr>
      </w:pPr>
      <w:r w:rsidRPr="00920150">
        <w:rPr>
          <w:sz w:val="20"/>
          <w:szCs w:val="20"/>
          <w:lang w:val="es-CO"/>
        </w:rPr>
        <w:t xml:space="preserve">Se recomienda una </w:t>
      </w:r>
      <w:r w:rsidR="00F8425D" w:rsidRPr="00920150">
        <w:rPr>
          <w:sz w:val="20"/>
          <w:szCs w:val="20"/>
          <w:lang w:val="es-CO"/>
        </w:rPr>
        <w:t>extensión</w:t>
      </w:r>
      <w:r w:rsidRPr="00920150">
        <w:rPr>
          <w:sz w:val="20"/>
          <w:szCs w:val="20"/>
          <w:lang w:val="es-CO"/>
        </w:rPr>
        <w:t xml:space="preserve"> máxima de </w:t>
      </w:r>
      <w:r w:rsidR="002D29CB">
        <w:rPr>
          <w:sz w:val="20"/>
          <w:szCs w:val="20"/>
          <w:lang w:val="es-CO"/>
        </w:rPr>
        <w:t>7</w:t>
      </w:r>
      <w:r w:rsidRPr="00920150">
        <w:rPr>
          <w:sz w:val="20"/>
          <w:szCs w:val="20"/>
          <w:lang w:val="es-CO"/>
        </w:rPr>
        <w:t xml:space="preserve"> páginas. B</w:t>
      </w:r>
      <w:r>
        <w:rPr>
          <w:sz w:val="20"/>
          <w:szCs w:val="20"/>
          <w:lang w:val="es-CO"/>
        </w:rPr>
        <w:t xml:space="preserve">ISTUA </w:t>
      </w:r>
      <w:r w:rsidR="00F8425D">
        <w:rPr>
          <w:sz w:val="20"/>
          <w:szCs w:val="20"/>
          <w:lang w:val="es-CO"/>
        </w:rPr>
        <w:t xml:space="preserve">acepta para </w:t>
      </w:r>
      <w:r>
        <w:rPr>
          <w:sz w:val="20"/>
          <w:szCs w:val="20"/>
          <w:lang w:val="es-CO"/>
        </w:rPr>
        <w:t>publica</w:t>
      </w:r>
      <w:r w:rsidR="00F8425D">
        <w:rPr>
          <w:sz w:val="20"/>
          <w:szCs w:val="20"/>
          <w:lang w:val="es-CO"/>
        </w:rPr>
        <w:t>ción</w:t>
      </w:r>
      <w:r w:rsidR="002D29CB">
        <w:rPr>
          <w:sz w:val="20"/>
          <w:szCs w:val="20"/>
          <w:lang w:val="es-CO"/>
        </w:rPr>
        <w:t xml:space="preserve"> lo</w:t>
      </w:r>
      <w:r>
        <w:rPr>
          <w:sz w:val="20"/>
          <w:szCs w:val="20"/>
          <w:lang w:val="es-CO"/>
        </w:rPr>
        <w:t>s siguientes</w:t>
      </w:r>
      <w:r w:rsidR="002D29CB">
        <w:rPr>
          <w:sz w:val="20"/>
          <w:szCs w:val="20"/>
          <w:lang w:val="es-CO"/>
        </w:rPr>
        <w:t xml:space="preserve"> tipos</w:t>
      </w:r>
      <w:r>
        <w:rPr>
          <w:sz w:val="20"/>
          <w:szCs w:val="20"/>
          <w:lang w:val="es-CO"/>
        </w:rPr>
        <w:t>:</w:t>
      </w:r>
    </w:p>
    <w:p w14:paraId="3E32EABB" w14:textId="77777777" w:rsidR="003510F4" w:rsidRDefault="003510F4" w:rsidP="003510F4">
      <w:pPr>
        <w:ind w:firstLine="0"/>
        <w:rPr>
          <w:sz w:val="20"/>
          <w:szCs w:val="20"/>
          <w:lang w:val="es-CO"/>
        </w:rPr>
      </w:pPr>
    </w:p>
    <w:p w14:paraId="4263D197" w14:textId="77777777" w:rsidR="00FD6A3B" w:rsidRDefault="00FD6A3B" w:rsidP="003510F4">
      <w:pPr>
        <w:ind w:firstLine="0"/>
        <w:rPr>
          <w:sz w:val="20"/>
          <w:szCs w:val="20"/>
          <w:lang w:val="es-CO"/>
        </w:rPr>
      </w:pPr>
    </w:p>
    <w:p w14:paraId="0A6C568A" w14:textId="77777777" w:rsidR="00F8425D" w:rsidRPr="002254E4" w:rsidRDefault="00920150" w:rsidP="003510F4">
      <w:pPr>
        <w:ind w:firstLine="0"/>
        <w:rPr>
          <w:i/>
          <w:sz w:val="20"/>
          <w:szCs w:val="20"/>
          <w:lang w:val="es-CO"/>
        </w:rPr>
      </w:pPr>
      <w:r w:rsidRPr="002254E4">
        <w:rPr>
          <w:i/>
          <w:sz w:val="20"/>
          <w:szCs w:val="20"/>
          <w:lang w:val="es-CO"/>
        </w:rPr>
        <w:t xml:space="preserve">1.2.1 </w:t>
      </w:r>
      <w:r w:rsidRPr="00920150">
        <w:rPr>
          <w:i/>
          <w:sz w:val="20"/>
          <w:szCs w:val="20"/>
          <w:lang w:val="es-CO"/>
        </w:rPr>
        <w:t>Artículo original</w:t>
      </w:r>
    </w:p>
    <w:p w14:paraId="7940A6F3" w14:textId="77777777" w:rsidR="00920150" w:rsidRPr="00920150" w:rsidRDefault="00F8425D" w:rsidP="002254E4">
      <w:pPr>
        <w:rPr>
          <w:sz w:val="20"/>
          <w:szCs w:val="20"/>
          <w:lang w:val="es-CO"/>
        </w:rPr>
      </w:pPr>
      <w:r>
        <w:rPr>
          <w:sz w:val="20"/>
          <w:szCs w:val="20"/>
          <w:lang w:val="es-CO"/>
        </w:rPr>
        <w:t>E</w:t>
      </w:r>
      <w:r w:rsidR="00920150" w:rsidRPr="00920150">
        <w:rPr>
          <w:sz w:val="20"/>
          <w:szCs w:val="20"/>
          <w:lang w:val="es-CO"/>
        </w:rPr>
        <w:t>s un trabajo inédito derivado de una investigación que aporta información nueva sobre aspectos específicos y contribuye de manera relevante al conocimiento científico.</w:t>
      </w:r>
    </w:p>
    <w:p w14:paraId="4051A8AC" w14:textId="77777777" w:rsidR="00920150" w:rsidRPr="00920150" w:rsidRDefault="00920150" w:rsidP="00920150">
      <w:pPr>
        <w:rPr>
          <w:sz w:val="20"/>
          <w:szCs w:val="20"/>
          <w:lang w:val="es-CO"/>
        </w:rPr>
      </w:pPr>
    </w:p>
    <w:p w14:paraId="17C093A5" w14:textId="77777777" w:rsidR="00F8425D" w:rsidRDefault="00F8425D" w:rsidP="003510F4">
      <w:pPr>
        <w:ind w:firstLine="0"/>
        <w:rPr>
          <w:sz w:val="20"/>
          <w:szCs w:val="20"/>
          <w:lang w:val="es-CO"/>
        </w:rPr>
      </w:pPr>
      <w:r>
        <w:rPr>
          <w:i/>
          <w:sz w:val="20"/>
          <w:szCs w:val="20"/>
          <w:lang w:val="es-CO"/>
        </w:rPr>
        <w:t xml:space="preserve">1.2.2 </w:t>
      </w:r>
      <w:r w:rsidR="00920150" w:rsidRPr="00F8425D">
        <w:rPr>
          <w:i/>
          <w:sz w:val="20"/>
          <w:szCs w:val="20"/>
          <w:lang w:val="es-CO"/>
        </w:rPr>
        <w:t>Comunicación breve</w:t>
      </w:r>
    </w:p>
    <w:p w14:paraId="51ECED84" w14:textId="77777777" w:rsidR="00920150" w:rsidRPr="00920150" w:rsidRDefault="002254E4" w:rsidP="002254E4">
      <w:pPr>
        <w:rPr>
          <w:sz w:val="20"/>
          <w:szCs w:val="20"/>
          <w:lang w:val="es-CO"/>
        </w:rPr>
      </w:pPr>
      <w:r>
        <w:rPr>
          <w:sz w:val="20"/>
          <w:szCs w:val="20"/>
          <w:lang w:val="es-CO"/>
        </w:rPr>
        <w:t>E</w:t>
      </w:r>
      <w:r w:rsidR="00920150" w:rsidRPr="00920150">
        <w:rPr>
          <w:sz w:val="20"/>
          <w:szCs w:val="20"/>
          <w:lang w:val="es-CO"/>
        </w:rPr>
        <w:t>s el informe de resultados parciales de una investigación cuya divulgación rápida es de gran importancia. Es un trabajo de 1.000 palabras, máximo, con un número de figuras y tablas no mayor de 2 y cuyo resumen no debe pasar de 100 palabras.</w:t>
      </w:r>
    </w:p>
    <w:p w14:paraId="0960D339" w14:textId="77777777" w:rsidR="00920150" w:rsidRPr="00920150" w:rsidRDefault="00920150" w:rsidP="002254E4">
      <w:pPr>
        <w:ind w:firstLine="0"/>
        <w:rPr>
          <w:sz w:val="20"/>
          <w:szCs w:val="20"/>
          <w:lang w:val="es-CO"/>
        </w:rPr>
      </w:pPr>
      <w:r w:rsidRPr="00920150">
        <w:rPr>
          <w:sz w:val="20"/>
          <w:szCs w:val="20"/>
          <w:lang w:val="es-CO"/>
        </w:rPr>
        <w:t>Los métodos, resultados y discusión se presentan agrupados en una única sección.</w:t>
      </w:r>
    </w:p>
    <w:p w14:paraId="6293E542" w14:textId="77777777" w:rsidR="003510F4" w:rsidRDefault="003510F4" w:rsidP="003510F4">
      <w:pPr>
        <w:ind w:firstLine="0"/>
        <w:rPr>
          <w:sz w:val="20"/>
          <w:szCs w:val="20"/>
          <w:lang w:val="es-CO"/>
        </w:rPr>
      </w:pPr>
    </w:p>
    <w:p w14:paraId="5ECEED9D" w14:textId="77777777" w:rsidR="003510F4" w:rsidRDefault="002254E4" w:rsidP="003510F4">
      <w:pPr>
        <w:ind w:firstLine="0"/>
        <w:rPr>
          <w:sz w:val="20"/>
          <w:szCs w:val="20"/>
          <w:lang w:val="es-CO"/>
        </w:rPr>
      </w:pPr>
      <w:r w:rsidRPr="003510F4">
        <w:rPr>
          <w:i/>
          <w:sz w:val="20"/>
          <w:szCs w:val="20"/>
          <w:lang w:val="es-CO"/>
        </w:rPr>
        <w:t xml:space="preserve">1.2.3 </w:t>
      </w:r>
      <w:r w:rsidR="00920150" w:rsidRPr="002254E4">
        <w:rPr>
          <w:i/>
          <w:sz w:val="20"/>
          <w:szCs w:val="20"/>
          <w:lang w:val="es-CO"/>
        </w:rPr>
        <w:t>Nota técnica</w:t>
      </w:r>
    </w:p>
    <w:p w14:paraId="437E9BAB" w14:textId="77777777" w:rsidR="00920150" w:rsidRPr="00920150" w:rsidRDefault="003510F4" w:rsidP="003510F4">
      <w:pPr>
        <w:rPr>
          <w:sz w:val="20"/>
          <w:szCs w:val="20"/>
          <w:lang w:val="es-CO"/>
        </w:rPr>
      </w:pPr>
      <w:r>
        <w:rPr>
          <w:sz w:val="20"/>
          <w:szCs w:val="20"/>
          <w:lang w:val="es-CO"/>
        </w:rPr>
        <w:lastRenderedPageBreak/>
        <w:t>E</w:t>
      </w:r>
      <w:r w:rsidR="00920150" w:rsidRPr="00920150">
        <w:rPr>
          <w:sz w:val="20"/>
          <w:szCs w:val="20"/>
          <w:lang w:val="es-CO"/>
        </w:rPr>
        <w:t>s un escrito breve en el que se describe en detalle una técnica de laboratorio novedosa o modificaciones realizadas a una técnica ya establecida, enfatizando las ventajas que tiene el procedimiento o la innovación desarrollados.</w:t>
      </w:r>
    </w:p>
    <w:p w14:paraId="6B26BDB8" w14:textId="77777777" w:rsidR="00920150" w:rsidRPr="00920150" w:rsidRDefault="00920150" w:rsidP="00920150">
      <w:pPr>
        <w:rPr>
          <w:sz w:val="20"/>
          <w:szCs w:val="20"/>
          <w:lang w:val="es-CO"/>
        </w:rPr>
      </w:pPr>
    </w:p>
    <w:p w14:paraId="48492A70" w14:textId="77777777" w:rsidR="003510F4" w:rsidRDefault="003510F4" w:rsidP="003510F4">
      <w:pPr>
        <w:ind w:firstLine="0"/>
        <w:rPr>
          <w:sz w:val="20"/>
          <w:szCs w:val="20"/>
          <w:lang w:val="es-CO"/>
        </w:rPr>
      </w:pPr>
      <w:r w:rsidRPr="003510F4">
        <w:rPr>
          <w:i/>
          <w:sz w:val="20"/>
          <w:szCs w:val="20"/>
          <w:lang w:val="es-CO"/>
        </w:rPr>
        <w:t xml:space="preserve">1.2.4 </w:t>
      </w:r>
      <w:r w:rsidR="00A65900">
        <w:rPr>
          <w:i/>
          <w:sz w:val="20"/>
          <w:szCs w:val="20"/>
          <w:lang w:val="es-CO"/>
        </w:rPr>
        <w:t>Revisión de tema</w:t>
      </w:r>
    </w:p>
    <w:p w14:paraId="39EDE86C" w14:textId="77777777" w:rsidR="00920150" w:rsidRDefault="00920150" w:rsidP="00A65900">
      <w:pPr>
        <w:rPr>
          <w:sz w:val="20"/>
          <w:szCs w:val="20"/>
          <w:lang w:val="es-CO"/>
        </w:rPr>
      </w:pPr>
      <w:r w:rsidRPr="00920150">
        <w:rPr>
          <w:sz w:val="20"/>
          <w:szCs w:val="20"/>
          <w:lang w:val="es-CO"/>
        </w:rPr>
        <w:t xml:space="preserve"> </w:t>
      </w:r>
      <w:r w:rsidR="00A65900">
        <w:rPr>
          <w:sz w:val="20"/>
          <w:szCs w:val="20"/>
          <w:lang w:val="es-CO"/>
        </w:rPr>
        <w:t>E</w:t>
      </w:r>
      <w:r w:rsidRPr="00920150">
        <w:rPr>
          <w:sz w:val="20"/>
          <w:szCs w:val="20"/>
          <w:lang w:val="es-CO"/>
        </w:rPr>
        <w:t xml:space="preserve">s </w:t>
      </w:r>
      <w:r w:rsidR="00A65900">
        <w:rPr>
          <w:sz w:val="20"/>
          <w:szCs w:val="20"/>
          <w:lang w:val="es-CO"/>
        </w:rPr>
        <w:t xml:space="preserve">un </w:t>
      </w:r>
      <w:r w:rsidRPr="00920150">
        <w:rPr>
          <w:sz w:val="20"/>
          <w:szCs w:val="20"/>
          <w:lang w:val="es-CO"/>
        </w:rPr>
        <w:t xml:space="preserve">trabajo </w:t>
      </w:r>
      <w:r w:rsidR="00A65900">
        <w:rPr>
          <w:sz w:val="20"/>
          <w:szCs w:val="20"/>
          <w:lang w:val="es-CO"/>
        </w:rPr>
        <w:t xml:space="preserve">que </w:t>
      </w:r>
      <w:r w:rsidR="00A65900" w:rsidRPr="00A65900">
        <w:rPr>
          <w:sz w:val="20"/>
          <w:szCs w:val="20"/>
          <w:lang w:val="es-CO"/>
        </w:rPr>
        <w:t xml:space="preserve">constituye un "estado del arte" </w:t>
      </w:r>
      <w:r w:rsidR="00A65900">
        <w:rPr>
          <w:sz w:val="20"/>
          <w:szCs w:val="20"/>
          <w:lang w:val="es-CO"/>
        </w:rPr>
        <w:t xml:space="preserve">y que es presentado por expertos en un tema particular de las ciencias básicas, y que son invitados por </w:t>
      </w:r>
      <w:r w:rsidR="00A65900" w:rsidRPr="00A65900">
        <w:rPr>
          <w:sz w:val="20"/>
          <w:szCs w:val="20"/>
          <w:lang w:val="es-CO"/>
        </w:rPr>
        <w:t>el Comité Editorial</w:t>
      </w:r>
      <w:r w:rsidR="00A65900">
        <w:rPr>
          <w:sz w:val="20"/>
          <w:szCs w:val="20"/>
          <w:lang w:val="es-CO"/>
        </w:rPr>
        <w:t>.</w:t>
      </w:r>
    </w:p>
    <w:p w14:paraId="76FA59FD" w14:textId="77777777" w:rsidR="00D35E51" w:rsidRDefault="00D35E51" w:rsidP="00D35E51">
      <w:pPr>
        <w:ind w:firstLine="0"/>
        <w:rPr>
          <w:sz w:val="20"/>
          <w:szCs w:val="20"/>
          <w:lang w:val="es-CO"/>
        </w:rPr>
      </w:pPr>
    </w:p>
    <w:p w14:paraId="7D5B282E" w14:textId="77777777" w:rsidR="00D35E51" w:rsidRDefault="00D35E51" w:rsidP="00D35E51">
      <w:pPr>
        <w:ind w:firstLine="0"/>
        <w:rPr>
          <w:sz w:val="20"/>
          <w:szCs w:val="20"/>
          <w:lang w:val="es-CO"/>
        </w:rPr>
      </w:pPr>
      <w:r w:rsidRPr="003510F4">
        <w:rPr>
          <w:i/>
          <w:sz w:val="20"/>
          <w:szCs w:val="20"/>
          <w:lang w:val="es-CO"/>
        </w:rPr>
        <w:t xml:space="preserve">1.2.4 </w:t>
      </w:r>
      <w:r>
        <w:rPr>
          <w:i/>
          <w:sz w:val="20"/>
          <w:szCs w:val="20"/>
          <w:lang w:val="es-CO"/>
        </w:rPr>
        <w:t xml:space="preserve">Números especiales </w:t>
      </w:r>
    </w:p>
    <w:p w14:paraId="2D2174DB" w14:textId="77777777" w:rsidR="00457714" w:rsidRDefault="00D35E51" w:rsidP="00457714">
      <w:pPr>
        <w:rPr>
          <w:sz w:val="20"/>
          <w:szCs w:val="20"/>
          <w:lang w:val="es-CO"/>
        </w:rPr>
      </w:pPr>
      <w:r w:rsidRPr="00920150">
        <w:rPr>
          <w:sz w:val="20"/>
          <w:szCs w:val="20"/>
          <w:lang w:val="es-CO"/>
        </w:rPr>
        <w:t xml:space="preserve"> </w:t>
      </w:r>
      <w:r w:rsidR="0009248C">
        <w:rPr>
          <w:sz w:val="20"/>
          <w:szCs w:val="20"/>
          <w:lang w:val="es-CO"/>
        </w:rPr>
        <w:t xml:space="preserve">BISTUA podrá publicar números especiales de trabajos presentados en eventos de divulgación de resultados de investigación. En todo caso, las contribuciones deberán </w:t>
      </w:r>
      <w:r w:rsidR="00CD3143">
        <w:rPr>
          <w:sz w:val="20"/>
          <w:szCs w:val="20"/>
          <w:lang w:val="es-CO"/>
        </w:rPr>
        <w:t>surtir el</w:t>
      </w:r>
      <w:r w:rsidR="00A73ABB">
        <w:rPr>
          <w:sz w:val="20"/>
          <w:szCs w:val="20"/>
          <w:lang w:val="es-CO"/>
        </w:rPr>
        <w:t xml:space="preserve"> procedimiento de a</w:t>
      </w:r>
      <w:r w:rsidR="00457714">
        <w:rPr>
          <w:sz w:val="20"/>
          <w:szCs w:val="20"/>
          <w:lang w:val="es-CO"/>
        </w:rPr>
        <w:t>rbitraje establecido por BISTUA</w:t>
      </w:r>
      <w:r w:rsidR="00457714" w:rsidRPr="00457714">
        <w:rPr>
          <w:sz w:val="20"/>
          <w:szCs w:val="20"/>
          <w:lang w:val="es-CO"/>
        </w:rPr>
        <w:t>.</w:t>
      </w:r>
      <w:r w:rsidR="00457714" w:rsidRPr="00457714">
        <w:rPr>
          <w:sz w:val="20"/>
          <w:szCs w:val="20"/>
          <w:lang w:val="es-CO"/>
        </w:rPr>
        <w:tab/>
      </w:r>
    </w:p>
    <w:p w14:paraId="778CD10B" w14:textId="77777777" w:rsidR="00457714" w:rsidRPr="00457714" w:rsidRDefault="00457714" w:rsidP="00457714">
      <w:pPr>
        <w:ind w:firstLine="0"/>
        <w:rPr>
          <w:i/>
          <w:sz w:val="20"/>
          <w:szCs w:val="20"/>
          <w:lang w:val="es-CO"/>
        </w:rPr>
      </w:pPr>
      <w:r w:rsidRPr="00457714">
        <w:rPr>
          <w:i/>
          <w:sz w:val="20"/>
          <w:szCs w:val="20"/>
          <w:lang w:val="es-CO"/>
        </w:rPr>
        <w:t>1.2.5 Presentación de casos</w:t>
      </w:r>
    </w:p>
    <w:p w14:paraId="703C8AE1" w14:textId="77777777" w:rsidR="00457714" w:rsidRPr="00457714" w:rsidRDefault="00457714" w:rsidP="00457714">
      <w:pPr>
        <w:rPr>
          <w:sz w:val="20"/>
          <w:szCs w:val="20"/>
          <w:lang w:val="es-CO"/>
        </w:rPr>
      </w:pPr>
      <w:r>
        <w:rPr>
          <w:sz w:val="20"/>
          <w:szCs w:val="20"/>
          <w:lang w:val="es-CO"/>
        </w:rPr>
        <w:t>D</w:t>
      </w:r>
      <w:r w:rsidRPr="00457714">
        <w:rPr>
          <w:sz w:val="20"/>
          <w:szCs w:val="20"/>
          <w:lang w:val="es-CO"/>
        </w:rPr>
        <w:t>escripción de un cuadro clínico que destaca alguna particularidad llamativa o especial, con análisis amplio de la literatura pertinente.</w:t>
      </w:r>
    </w:p>
    <w:p w14:paraId="5DA8CB8E" w14:textId="77777777" w:rsidR="00457714" w:rsidRPr="00457714" w:rsidRDefault="00457714" w:rsidP="00457714">
      <w:pPr>
        <w:rPr>
          <w:sz w:val="20"/>
          <w:szCs w:val="20"/>
          <w:lang w:val="es-CO"/>
        </w:rPr>
      </w:pPr>
    </w:p>
    <w:p w14:paraId="2F95DD21" w14:textId="77777777" w:rsidR="00457714" w:rsidRDefault="00457714" w:rsidP="00457714">
      <w:pPr>
        <w:ind w:firstLine="0"/>
        <w:rPr>
          <w:sz w:val="20"/>
          <w:szCs w:val="20"/>
          <w:lang w:val="es-CO"/>
        </w:rPr>
      </w:pPr>
      <w:r w:rsidRPr="00457714">
        <w:rPr>
          <w:i/>
          <w:sz w:val="20"/>
          <w:szCs w:val="20"/>
          <w:lang w:val="es-CO"/>
        </w:rPr>
        <w:t>1.2.6 Cartas al editor</w:t>
      </w:r>
    </w:p>
    <w:p w14:paraId="23510CF6" w14:textId="77777777" w:rsidR="00457714" w:rsidRPr="00457714" w:rsidRDefault="00457714" w:rsidP="00457714">
      <w:pPr>
        <w:rPr>
          <w:sz w:val="20"/>
          <w:szCs w:val="20"/>
          <w:lang w:val="es-CO"/>
        </w:rPr>
      </w:pPr>
      <w:r w:rsidRPr="00457714">
        <w:rPr>
          <w:sz w:val="20"/>
          <w:szCs w:val="20"/>
          <w:lang w:val="es-CO"/>
        </w:rPr>
        <w:t xml:space="preserve"> </w:t>
      </w:r>
      <w:r>
        <w:rPr>
          <w:sz w:val="20"/>
          <w:szCs w:val="20"/>
          <w:lang w:val="es-CO"/>
        </w:rPr>
        <w:t>L</w:t>
      </w:r>
      <w:r w:rsidRPr="00457714">
        <w:rPr>
          <w:sz w:val="20"/>
          <w:szCs w:val="20"/>
          <w:lang w:val="es-CO"/>
        </w:rPr>
        <w:t>os lectores solicitan aclaraciones o presentan comentarios sobre cualquier material publicado en la revista.</w:t>
      </w:r>
    </w:p>
    <w:p w14:paraId="776B0843" w14:textId="77777777" w:rsidR="00457714" w:rsidRDefault="00457714" w:rsidP="00457714">
      <w:pPr>
        <w:ind w:firstLine="0"/>
        <w:rPr>
          <w:sz w:val="20"/>
          <w:szCs w:val="20"/>
          <w:lang w:val="es-CO"/>
        </w:rPr>
      </w:pPr>
    </w:p>
    <w:p w14:paraId="6028FCCE" w14:textId="77777777" w:rsidR="00D35E51" w:rsidRDefault="00457714" w:rsidP="00457714">
      <w:pPr>
        <w:ind w:firstLine="0"/>
        <w:rPr>
          <w:sz w:val="20"/>
          <w:szCs w:val="20"/>
          <w:lang w:val="es-CO"/>
        </w:rPr>
      </w:pPr>
      <w:r w:rsidRPr="00457714">
        <w:rPr>
          <w:sz w:val="20"/>
          <w:szCs w:val="20"/>
          <w:lang w:val="es-CO"/>
        </w:rPr>
        <w:t xml:space="preserve">Todo material propuesto para publicación en </w:t>
      </w:r>
      <w:proofErr w:type="spellStart"/>
      <w:r w:rsidRPr="00457714">
        <w:rPr>
          <w:sz w:val="20"/>
          <w:szCs w:val="20"/>
          <w:lang w:val="es-CO"/>
        </w:rPr>
        <w:t>Bistua</w:t>
      </w:r>
      <w:proofErr w:type="spellEnd"/>
      <w:r w:rsidRPr="00457714">
        <w:rPr>
          <w:sz w:val="20"/>
          <w:szCs w:val="20"/>
          <w:lang w:val="es-CO"/>
        </w:rPr>
        <w:t>, será revisado por el Comité Editorial y enviado para evaluación a dos evaluadores o pares científicos. Los editores informarán a los autores sobre la recepción de los trabajos, sobre los comentarios de los evaluadores y sobre la decisión final que se tome para su publicación.</w:t>
      </w:r>
      <w:r>
        <w:rPr>
          <w:sz w:val="20"/>
          <w:szCs w:val="20"/>
          <w:lang w:val="es-CO"/>
        </w:rPr>
        <w:t xml:space="preserve"> </w:t>
      </w:r>
      <w:r w:rsidRPr="00457714">
        <w:rPr>
          <w:sz w:val="20"/>
          <w:szCs w:val="20"/>
          <w:lang w:val="es-CO"/>
        </w:rPr>
        <w:t xml:space="preserve">La revista </w:t>
      </w:r>
      <w:proofErr w:type="spellStart"/>
      <w:r w:rsidRPr="00457714">
        <w:rPr>
          <w:sz w:val="20"/>
          <w:szCs w:val="20"/>
          <w:lang w:val="es-CO"/>
        </w:rPr>
        <w:t>Bistua</w:t>
      </w:r>
      <w:proofErr w:type="spellEnd"/>
      <w:r w:rsidRPr="00457714">
        <w:rPr>
          <w:sz w:val="20"/>
          <w:szCs w:val="20"/>
          <w:lang w:val="es-CO"/>
        </w:rPr>
        <w:t xml:space="preserve"> se reserva el derecho de aceptar o rechazar los artículos y podrá hacer sugerencias que tiendan a mejorar su presentación.</w:t>
      </w:r>
      <w:r>
        <w:rPr>
          <w:sz w:val="20"/>
          <w:szCs w:val="20"/>
          <w:lang w:val="es-CO"/>
        </w:rPr>
        <w:t xml:space="preserve"> </w:t>
      </w:r>
      <w:r w:rsidRPr="00457714">
        <w:rPr>
          <w:sz w:val="20"/>
          <w:szCs w:val="20"/>
          <w:lang w:val="es-CO"/>
        </w:rPr>
        <w:t>Los originales de los artículos permanecerán en los archivos de la revista hasta por un año.</w:t>
      </w:r>
    </w:p>
    <w:p w14:paraId="1F775E74" w14:textId="77777777" w:rsidR="001B6E76" w:rsidRDefault="001B6E76" w:rsidP="0059674A">
      <w:pPr>
        <w:pStyle w:val="Ttulo1"/>
        <w:numPr>
          <w:ilvl w:val="0"/>
          <w:numId w:val="0"/>
        </w:numPr>
        <w:rPr>
          <w:rFonts w:eastAsia="Times New Roman" w:cs="Times New Roman"/>
          <w:b w:val="0"/>
          <w:bCs w:val="0"/>
          <w:sz w:val="20"/>
          <w:lang w:val="es-CO"/>
        </w:rPr>
      </w:pPr>
    </w:p>
    <w:p w14:paraId="416F4608" w14:textId="77777777" w:rsidR="00CD6899" w:rsidRPr="003F275D" w:rsidRDefault="0070016B" w:rsidP="0059674A">
      <w:pPr>
        <w:pStyle w:val="Ttulo1"/>
        <w:numPr>
          <w:ilvl w:val="0"/>
          <w:numId w:val="0"/>
        </w:numPr>
        <w:rPr>
          <w:rFonts w:cs="Times New Roman"/>
          <w:sz w:val="22"/>
          <w:lang w:val="es-CO"/>
        </w:rPr>
      </w:pPr>
      <w:r w:rsidRPr="003F275D">
        <w:rPr>
          <w:rFonts w:cs="Times New Roman"/>
          <w:sz w:val="20"/>
          <w:lang w:val="es-CO"/>
        </w:rPr>
        <w:t xml:space="preserve">2 </w:t>
      </w:r>
      <w:r w:rsidR="00D47030" w:rsidRPr="003F275D">
        <w:rPr>
          <w:rFonts w:cs="Times New Roman"/>
          <w:sz w:val="22"/>
          <w:lang w:val="es-CO"/>
        </w:rPr>
        <w:t>Tabl</w:t>
      </w:r>
      <w:r w:rsidR="003649BF" w:rsidRPr="003F275D">
        <w:rPr>
          <w:rFonts w:cs="Times New Roman"/>
          <w:sz w:val="22"/>
          <w:lang w:val="es-CO"/>
        </w:rPr>
        <w:t>a</w:t>
      </w:r>
      <w:r w:rsidR="00D47030" w:rsidRPr="003F275D">
        <w:rPr>
          <w:rFonts w:cs="Times New Roman"/>
          <w:sz w:val="22"/>
          <w:lang w:val="es-CO"/>
        </w:rPr>
        <w:t xml:space="preserve">s </w:t>
      </w:r>
      <w:r w:rsidR="003649BF" w:rsidRPr="003F275D">
        <w:rPr>
          <w:rFonts w:cs="Times New Roman"/>
          <w:sz w:val="22"/>
          <w:lang w:val="es-CO"/>
        </w:rPr>
        <w:t xml:space="preserve">y </w:t>
      </w:r>
      <w:r w:rsidRPr="003F275D">
        <w:rPr>
          <w:rFonts w:cs="Times New Roman"/>
          <w:sz w:val="22"/>
          <w:lang w:val="es-CO"/>
        </w:rPr>
        <w:t>f</w:t>
      </w:r>
      <w:r w:rsidR="003649BF" w:rsidRPr="003F275D">
        <w:rPr>
          <w:rFonts w:cs="Times New Roman"/>
          <w:sz w:val="22"/>
          <w:lang w:val="es-CO"/>
        </w:rPr>
        <w:t>iguras</w:t>
      </w:r>
    </w:p>
    <w:p w14:paraId="64DE7C18" w14:textId="77777777" w:rsidR="00D47030" w:rsidRPr="003F275D" w:rsidRDefault="00D47030" w:rsidP="006903C4">
      <w:pPr>
        <w:rPr>
          <w:szCs w:val="20"/>
          <w:lang w:val="es-CO"/>
        </w:rPr>
      </w:pPr>
    </w:p>
    <w:p w14:paraId="464B80BB" w14:textId="77777777" w:rsidR="00681624" w:rsidRDefault="00633FD9" w:rsidP="00E82B0B">
      <w:pPr>
        <w:rPr>
          <w:sz w:val="20"/>
          <w:szCs w:val="20"/>
          <w:lang w:val="es-CO"/>
        </w:rPr>
      </w:pPr>
      <w:r w:rsidRPr="00633FD9">
        <w:rPr>
          <w:sz w:val="20"/>
          <w:szCs w:val="20"/>
          <w:lang w:val="es-CO"/>
        </w:rPr>
        <w:t xml:space="preserve">Todas las tablas y figuras ocupan </w:t>
      </w:r>
      <w:r>
        <w:rPr>
          <w:sz w:val="20"/>
          <w:szCs w:val="20"/>
          <w:lang w:val="es-CO"/>
        </w:rPr>
        <w:t xml:space="preserve">máximo </w:t>
      </w:r>
      <w:r w:rsidRPr="00633FD9">
        <w:rPr>
          <w:sz w:val="20"/>
          <w:szCs w:val="20"/>
          <w:lang w:val="es-CO"/>
        </w:rPr>
        <w:t xml:space="preserve">el ancho de la columna. Use figuras y tablas de dos columnas de ancho </w:t>
      </w:r>
      <w:r>
        <w:rPr>
          <w:sz w:val="20"/>
          <w:szCs w:val="20"/>
          <w:lang w:val="es-CO"/>
        </w:rPr>
        <w:t xml:space="preserve">solo si es </w:t>
      </w:r>
      <w:r w:rsidRPr="00633FD9">
        <w:rPr>
          <w:sz w:val="20"/>
          <w:szCs w:val="20"/>
          <w:lang w:val="es-CO"/>
        </w:rPr>
        <w:t xml:space="preserve">absolutamente necesario. Las tablas tienen el título de </w:t>
      </w:r>
      <w:r>
        <w:rPr>
          <w:sz w:val="20"/>
          <w:szCs w:val="20"/>
          <w:lang w:val="es-CO"/>
        </w:rPr>
        <w:t xml:space="preserve">encima de la tabla </w:t>
      </w:r>
      <w:r w:rsidRPr="00633FD9">
        <w:rPr>
          <w:sz w:val="20"/>
          <w:szCs w:val="20"/>
          <w:lang w:val="es-CO"/>
        </w:rPr>
        <w:t xml:space="preserve">y las figuras tienen el título de </w:t>
      </w:r>
      <w:r>
        <w:rPr>
          <w:sz w:val="20"/>
          <w:szCs w:val="20"/>
          <w:lang w:val="es-CO"/>
        </w:rPr>
        <w:t>debajo (ver ejemplo Tab.1 y Fig.1)</w:t>
      </w:r>
      <w:r w:rsidRPr="00633FD9">
        <w:rPr>
          <w:sz w:val="20"/>
          <w:szCs w:val="20"/>
          <w:lang w:val="es-CO"/>
        </w:rPr>
        <w:t>. Todas las tablas y figuras se numeran consecutivamente con números arábigos. Presentamos un ejemplo de formato correcto de tablas y figu</w:t>
      </w:r>
      <w:r w:rsidR="00EB5DC2">
        <w:rPr>
          <w:sz w:val="20"/>
          <w:szCs w:val="20"/>
          <w:lang w:val="es-CO"/>
        </w:rPr>
        <w:t>ras en la Tab.</w:t>
      </w:r>
      <w:r w:rsidRPr="00633FD9">
        <w:rPr>
          <w:sz w:val="20"/>
          <w:szCs w:val="20"/>
          <w:lang w:val="es-CO"/>
        </w:rPr>
        <w:t xml:space="preserve">1 y la Fig. 1. Ubique las tablas y figuras cerca de la primera referencia a ellas, preferiblemente al principio o al final de cada columna. No use abreviaturas en los encabezados de columna. Para los subtítulos de tablas y figuras, y el texto en tablas, use la fuente Times New </w:t>
      </w:r>
      <w:proofErr w:type="spellStart"/>
      <w:r w:rsidRPr="00633FD9">
        <w:rPr>
          <w:sz w:val="20"/>
          <w:szCs w:val="20"/>
          <w:lang w:val="es-CO"/>
        </w:rPr>
        <w:t>Roman</w:t>
      </w:r>
      <w:proofErr w:type="spellEnd"/>
      <w:r w:rsidRPr="00633FD9">
        <w:rPr>
          <w:sz w:val="20"/>
          <w:szCs w:val="20"/>
          <w:lang w:val="es-CO"/>
        </w:rPr>
        <w:t xml:space="preserve"> con un tamaño de 8 puntos. Use solo líneas horizontales. Evite el texto en negrita. </w:t>
      </w:r>
      <w:r w:rsidR="0093272D">
        <w:rPr>
          <w:sz w:val="20"/>
          <w:szCs w:val="20"/>
          <w:lang w:val="es-CO"/>
        </w:rPr>
        <w:t>Las imágenes deben ser de alta calidad</w:t>
      </w:r>
      <w:r w:rsidR="001367BE">
        <w:rPr>
          <w:sz w:val="20"/>
          <w:szCs w:val="20"/>
          <w:lang w:val="es-CO"/>
        </w:rPr>
        <w:t>.</w:t>
      </w:r>
    </w:p>
    <w:p w14:paraId="599661DF" w14:textId="77777777" w:rsidR="00EB5DC2" w:rsidRPr="00633FD9" w:rsidRDefault="00EB5DC2" w:rsidP="00E82B0B">
      <w:pPr>
        <w:rPr>
          <w:szCs w:val="20"/>
          <w:lang w:val="es-CO"/>
        </w:rPr>
      </w:pPr>
    </w:p>
    <w:p w14:paraId="79357CFA" w14:textId="77777777" w:rsidR="00681624" w:rsidRPr="00744A02" w:rsidRDefault="00EB5DC2" w:rsidP="00EB5DC2">
      <w:pPr>
        <w:pStyle w:val="ADYNATabla"/>
        <w:ind w:firstLine="0"/>
        <w:rPr>
          <w:lang w:val="es-CO"/>
        </w:rPr>
      </w:pPr>
      <w:r w:rsidRPr="003F275D">
        <w:rPr>
          <w:lang w:val="es-CO"/>
        </w:rPr>
        <w:t xml:space="preserve">Tabla 1. </w:t>
      </w:r>
      <w:r w:rsidRPr="00744A02">
        <w:rPr>
          <w:lang w:val="es-CO"/>
        </w:rPr>
        <w:t>Ejemplo de tabla</w:t>
      </w:r>
      <w:r w:rsidR="00C50B13" w:rsidRPr="00744A02">
        <w:rPr>
          <w:lang w:val="es-CO"/>
        </w:rPr>
        <w:t xml:space="preserve"> de datos</w:t>
      </w:r>
      <w:r w:rsidRPr="00744A02">
        <w:rPr>
          <w:lang w:val="es-CO"/>
        </w:rPr>
        <w:t>.</w:t>
      </w:r>
      <w:r w:rsidR="00681624" w:rsidRPr="00744A02">
        <w:rPr>
          <w:lang w:val="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1628"/>
        <w:gridCol w:w="1632"/>
      </w:tblGrid>
      <w:tr w:rsidR="00EB5DC2" w:rsidRPr="00690985" w14:paraId="702BE403" w14:textId="77777777" w:rsidTr="00681624">
        <w:tc>
          <w:tcPr>
            <w:tcW w:w="1678" w:type="dxa"/>
            <w:tcBorders>
              <w:top w:val="single" w:sz="4" w:space="0" w:color="auto"/>
              <w:bottom w:val="single" w:sz="4" w:space="0" w:color="auto"/>
            </w:tcBorders>
          </w:tcPr>
          <w:p w14:paraId="14088247" w14:textId="77777777" w:rsidR="00681624" w:rsidRPr="00690985" w:rsidRDefault="00423551" w:rsidP="00EB5DC2">
            <w:pPr>
              <w:rPr>
                <w:sz w:val="16"/>
                <w:szCs w:val="20"/>
                <w:lang w:val="en-US"/>
              </w:rPr>
            </w:pPr>
            <w:r>
              <w:rPr>
                <w:sz w:val="16"/>
                <w:szCs w:val="20"/>
                <w:lang w:val="en-US"/>
              </w:rPr>
              <w:t>Material</w:t>
            </w:r>
          </w:p>
        </w:tc>
        <w:tc>
          <w:tcPr>
            <w:tcW w:w="1678" w:type="dxa"/>
            <w:tcBorders>
              <w:top w:val="single" w:sz="4" w:space="0" w:color="auto"/>
              <w:bottom w:val="single" w:sz="4" w:space="0" w:color="auto"/>
            </w:tcBorders>
          </w:tcPr>
          <w:p w14:paraId="257A9039" w14:textId="77777777" w:rsidR="00681624" w:rsidRPr="00690985" w:rsidRDefault="00EB5DC2" w:rsidP="00681624">
            <w:pPr>
              <w:jc w:val="center"/>
              <w:rPr>
                <w:sz w:val="16"/>
                <w:szCs w:val="20"/>
                <w:lang w:val="en-US"/>
              </w:rPr>
            </w:pPr>
            <w:proofErr w:type="spellStart"/>
            <w:r>
              <w:rPr>
                <w:sz w:val="16"/>
                <w:szCs w:val="20"/>
                <w:lang w:val="en-US"/>
              </w:rPr>
              <w:t>Temperatura</w:t>
            </w:r>
            <w:proofErr w:type="spellEnd"/>
          </w:p>
          <w:p w14:paraId="69FB978C" w14:textId="77777777" w:rsidR="00681624" w:rsidRPr="00690985" w:rsidRDefault="00EB5DC2" w:rsidP="00EB5DC2">
            <w:pPr>
              <w:rPr>
                <w:sz w:val="16"/>
                <w:szCs w:val="20"/>
                <w:lang w:val="en-US"/>
              </w:rPr>
            </w:pPr>
            <w:r>
              <w:rPr>
                <w:sz w:val="16"/>
                <w:szCs w:val="20"/>
                <w:lang w:val="en-US"/>
              </w:rPr>
              <w:t xml:space="preserve">          (°C)</w:t>
            </w:r>
          </w:p>
        </w:tc>
        <w:tc>
          <w:tcPr>
            <w:tcW w:w="1678" w:type="dxa"/>
            <w:tcBorders>
              <w:top w:val="single" w:sz="4" w:space="0" w:color="auto"/>
              <w:bottom w:val="single" w:sz="4" w:space="0" w:color="auto"/>
            </w:tcBorders>
          </w:tcPr>
          <w:p w14:paraId="73F1C294" w14:textId="77777777" w:rsidR="00681624" w:rsidRPr="00690985" w:rsidRDefault="00EB5DC2" w:rsidP="00681624">
            <w:pPr>
              <w:jc w:val="center"/>
              <w:rPr>
                <w:sz w:val="16"/>
                <w:szCs w:val="20"/>
                <w:lang w:val="en-US"/>
              </w:rPr>
            </w:pPr>
            <w:proofErr w:type="spellStart"/>
            <w:r>
              <w:rPr>
                <w:sz w:val="16"/>
                <w:szCs w:val="20"/>
                <w:lang w:val="en-US"/>
              </w:rPr>
              <w:t>Deformación</w:t>
            </w:r>
            <w:proofErr w:type="spellEnd"/>
          </w:p>
          <w:p w14:paraId="1CC2971D" w14:textId="77777777" w:rsidR="00681624" w:rsidRPr="00690985" w:rsidRDefault="00EB5DC2" w:rsidP="00681624">
            <w:pPr>
              <w:jc w:val="center"/>
              <w:rPr>
                <w:sz w:val="16"/>
                <w:szCs w:val="20"/>
                <w:lang w:val="en-US"/>
              </w:rPr>
            </w:pPr>
            <w:r>
              <w:rPr>
                <w:sz w:val="16"/>
                <w:szCs w:val="20"/>
                <w:lang w:val="en-US"/>
              </w:rPr>
              <w:t>(mm)</w:t>
            </w:r>
          </w:p>
        </w:tc>
      </w:tr>
      <w:tr w:rsidR="00EB5DC2" w:rsidRPr="00690985" w14:paraId="5B694A2B" w14:textId="77777777" w:rsidTr="00681624">
        <w:tc>
          <w:tcPr>
            <w:tcW w:w="1678" w:type="dxa"/>
            <w:tcBorders>
              <w:top w:val="single" w:sz="4" w:space="0" w:color="auto"/>
            </w:tcBorders>
          </w:tcPr>
          <w:p w14:paraId="5ED734EF" w14:textId="77777777" w:rsidR="00681624" w:rsidRPr="00690985" w:rsidRDefault="00423551" w:rsidP="004C17DA">
            <w:pPr>
              <w:rPr>
                <w:sz w:val="16"/>
                <w:szCs w:val="20"/>
                <w:lang w:val="en-US"/>
              </w:rPr>
            </w:pPr>
            <w:proofErr w:type="spellStart"/>
            <w:r>
              <w:rPr>
                <w:sz w:val="16"/>
                <w:szCs w:val="20"/>
                <w:lang w:val="en-US"/>
              </w:rPr>
              <w:t>P</w:t>
            </w:r>
            <w:r w:rsidR="004C17DA">
              <w:rPr>
                <w:sz w:val="16"/>
                <w:szCs w:val="20"/>
                <w:lang w:val="en-US"/>
              </w:rPr>
              <w:t>lástico</w:t>
            </w:r>
            <w:proofErr w:type="spellEnd"/>
            <w:r w:rsidR="004C17DA">
              <w:rPr>
                <w:sz w:val="16"/>
                <w:szCs w:val="20"/>
                <w:lang w:val="en-US"/>
              </w:rPr>
              <w:t xml:space="preserve"> 1</w:t>
            </w:r>
          </w:p>
        </w:tc>
        <w:tc>
          <w:tcPr>
            <w:tcW w:w="1678" w:type="dxa"/>
            <w:tcBorders>
              <w:top w:val="single" w:sz="4" w:space="0" w:color="auto"/>
            </w:tcBorders>
          </w:tcPr>
          <w:p w14:paraId="011699C2" w14:textId="77777777" w:rsidR="00681624" w:rsidRPr="00690985" w:rsidRDefault="00EB5DC2" w:rsidP="00EB5DC2">
            <w:pPr>
              <w:jc w:val="center"/>
              <w:rPr>
                <w:sz w:val="16"/>
                <w:szCs w:val="20"/>
                <w:lang w:val="en-US"/>
              </w:rPr>
            </w:pPr>
            <w:r>
              <w:rPr>
                <w:sz w:val="16"/>
                <w:szCs w:val="20"/>
                <w:lang w:val="en-US"/>
              </w:rPr>
              <w:t>61</w:t>
            </w:r>
            <w:r w:rsidR="00681624" w:rsidRPr="00690985">
              <w:rPr>
                <w:sz w:val="16"/>
                <w:szCs w:val="20"/>
                <w:lang w:val="en-US"/>
              </w:rPr>
              <w:t>.</w:t>
            </w:r>
            <w:r>
              <w:rPr>
                <w:sz w:val="16"/>
                <w:szCs w:val="20"/>
                <w:lang w:val="en-US"/>
              </w:rPr>
              <w:t>08</w:t>
            </w:r>
            <w:r w:rsidR="00681624" w:rsidRPr="00690985">
              <w:rPr>
                <w:sz w:val="16"/>
                <w:szCs w:val="20"/>
                <w:lang w:val="en-US"/>
              </w:rPr>
              <w:t xml:space="preserve"> </w:t>
            </w:r>
          </w:p>
        </w:tc>
        <w:tc>
          <w:tcPr>
            <w:tcW w:w="1678" w:type="dxa"/>
            <w:tcBorders>
              <w:top w:val="single" w:sz="4" w:space="0" w:color="auto"/>
            </w:tcBorders>
          </w:tcPr>
          <w:p w14:paraId="5B154E4A" w14:textId="77777777" w:rsidR="00681624" w:rsidRPr="00690985" w:rsidRDefault="00EB5DC2" w:rsidP="00EB5DC2">
            <w:pPr>
              <w:jc w:val="center"/>
              <w:rPr>
                <w:sz w:val="16"/>
                <w:szCs w:val="20"/>
                <w:lang w:val="en-US"/>
              </w:rPr>
            </w:pPr>
            <w:r>
              <w:rPr>
                <w:sz w:val="16"/>
                <w:szCs w:val="20"/>
                <w:lang w:val="en-US"/>
              </w:rPr>
              <w:t>8</w:t>
            </w:r>
            <w:r w:rsidR="00681624" w:rsidRPr="00690985">
              <w:rPr>
                <w:sz w:val="16"/>
                <w:szCs w:val="20"/>
                <w:lang w:val="en-US"/>
              </w:rPr>
              <w:t>.</w:t>
            </w:r>
            <w:r>
              <w:rPr>
                <w:sz w:val="16"/>
                <w:szCs w:val="20"/>
                <w:lang w:val="en-US"/>
              </w:rPr>
              <w:t>06</w:t>
            </w:r>
            <w:r w:rsidR="00681624" w:rsidRPr="00690985">
              <w:rPr>
                <w:sz w:val="16"/>
                <w:szCs w:val="20"/>
                <w:lang w:val="en-US"/>
              </w:rPr>
              <w:t xml:space="preserve"> </w:t>
            </w:r>
          </w:p>
        </w:tc>
      </w:tr>
      <w:tr w:rsidR="00EB5DC2" w:rsidRPr="00690985" w14:paraId="51DE1CBB" w14:textId="77777777" w:rsidTr="00681624">
        <w:tc>
          <w:tcPr>
            <w:tcW w:w="1678" w:type="dxa"/>
            <w:tcBorders>
              <w:bottom w:val="single" w:sz="4" w:space="0" w:color="auto"/>
            </w:tcBorders>
          </w:tcPr>
          <w:p w14:paraId="714F3E64" w14:textId="77777777" w:rsidR="00681624" w:rsidRPr="00690985" w:rsidRDefault="004C17DA" w:rsidP="00681624">
            <w:pPr>
              <w:rPr>
                <w:sz w:val="16"/>
                <w:szCs w:val="20"/>
                <w:lang w:val="en-US"/>
              </w:rPr>
            </w:pPr>
            <w:proofErr w:type="spellStart"/>
            <w:r>
              <w:rPr>
                <w:sz w:val="16"/>
                <w:szCs w:val="20"/>
                <w:lang w:val="en-US"/>
              </w:rPr>
              <w:t>Plástico</w:t>
            </w:r>
            <w:proofErr w:type="spellEnd"/>
            <w:r>
              <w:rPr>
                <w:sz w:val="16"/>
                <w:szCs w:val="20"/>
                <w:lang w:val="en-US"/>
              </w:rPr>
              <w:t xml:space="preserve"> 2</w:t>
            </w:r>
          </w:p>
        </w:tc>
        <w:tc>
          <w:tcPr>
            <w:tcW w:w="1678" w:type="dxa"/>
            <w:tcBorders>
              <w:bottom w:val="single" w:sz="4" w:space="0" w:color="auto"/>
            </w:tcBorders>
          </w:tcPr>
          <w:p w14:paraId="08197C51" w14:textId="77777777" w:rsidR="00681624" w:rsidRPr="00690985" w:rsidRDefault="00EB5DC2" w:rsidP="00EB5DC2">
            <w:pPr>
              <w:jc w:val="center"/>
              <w:rPr>
                <w:sz w:val="16"/>
                <w:szCs w:val="20"/>
                <w:lang w:val="en-US"/>
              </w:rPr>
            </w:pPr>
            <w:r>
              <w:rPr>
                <w:sz w:val="16"/>
                <w:szCs w:val="20"/>
                <w:lang w:val="en-US"/>
              </w:rPr>
              <w:t>61</w:t>
            </w:r>
            <w:r w:rsidR="00681624" w:rsidRPr="00690985">
              <w:rPr>
                <w:sz w:val="16"/>
                <w:szCs w:val="20"/>
                <w:lang w:val="en-US"/>
              </w:rPr>
              <w:t xml:space="preserve">.93 </w:t>
            </w:r>
          </w:p>
        </w:tc>
        <w:tc>
          <w:tcPr>
            <w:tcW w:w="1678" w:type="dxa"/>
            <w:tcBorders>
              <w:bottom w:val="single" w:sz="4" w:space="0" w:color="auto"/>
            </w:tcBorders>
          </w:tcPr>
          <w:p w14:paraId="54C2D7D0" w14:textId="77777777" w:rsidR="00681624" w:rsidRPr="00690985" w:rsidRDefault="00EB5DC2" w:rsidP="00EB5DC2">
            <w:pPr>
              <w:jc w:val="center"/>
              <w:rPr>
                <w:sz w:val="16"/>
                <w:szCs w:val="20"/>
                <w:lang w:val="en-US"/>
              </w:rPr>
            </w:pPr>
            <w:r>
              <w:rPr>
                <w:sz w:val="16"/>
                <w:szCs w:val="20"/>
                <w:lang w:val="en-US"/>
              </w:rPr>
              <w:t>6.16</w:t>
            </w:r>
          </w:p>
        </w:tc>
      </w:tr>
    </w:tbl>
    <w:p w14:paraId="5101076D" w14:textId="77777777" w:rsidR="00681624" w:rsidRPr="00690985" w:rsidRDefault="00681624" w:rsidP="00E82B0B">
      <w:pPr>
        <w:rPr>
          <w:szCs w:val="20"/>
          <w:lang w:val="en-US"/>
        </w:rPr>
      </w:pPr>
    </w:p>
    <w:p w14:paraId="2F86C41B" w14:textId="77777777" w:rsidR="00752300" w:rsidRPr="003F275D" w:rsidRDefault="0059674A" w:rsidP="0059674A">
      <w:pPr>
        <w:pStyle w:val="Ttulo1"/>
        <w:numPr>
          <w:ilvl w:val="0"/>
          <w:numId w:val="0"/>
        </w:numPr>
        <w:rPr>
          <w:rFonts w:cs="Times New Roman"/>
          <w:sz w:val="22"/>
          <w:lang w:val="es-CO"/>
        </w:rPr>
      </w:pPr>
      <w:proofErr w:type="gramStart"/>
      <w:r w:rsidRPr="003F275D">
        <w:rPr>
          <w:rFonts w:cs="Times New Roman"/>
          <w:sz w:val="20"/>
          <w:lang w:val="es-CO"/>
        </w:rPr>
        <w:t xml:space="preserve">3  </w:t>
      </w:r>
      <w:r w:rsidR="00591FD0" w:rsidRPr="003F275D">
        <w:rPr>
          <w:rFonts w:cs="Times New Roman"/>
          <w:sz w:val="22"/>
          <w:lang w:val="es-CO"/>
        </w:rPr>
        <w:t>Ecuaciones</w:t>
      </w:r>
      <w:proofErr w:type="gramEnd"/>
    </w:p>
    <w:p w14:paraId="601DFBAD" w14:textId="77777777" w:rsidR="00752300" w:rsidRPr="003F275D" w:rsidRDefault="00752300" w:rsidP="00B25DBB">
      <w:pPr>
        <w:rPr>
          <w:color w:val="000000"/>
          <w:szCs w:val="20"/>
          <w:lang w:val="es-CO"/>
        </w:rPr>
      </w:pPr>
    </w:p>
    <w:p w14:paraId="794CFAB4" w14:textId="77777777" w:rsidR="00752300" w:rsidRPr="00DE7CCD" w:rsidRDefault="00DE7CCD" w:rsidP="00567B7F">
      <w:pPr>
        <w:rPr>
          <w:sz w:val="20"/>
          <w:lang w:val="es-CO"/>
        </w:rPr>
      </w:pPr>
      <w:r w:rsidRPr="00DE7CCD">
        <w:rPr>
          <w:sz w:val="20"/>
          <w:lang w:val="es-CO"/>
        </w:rPr>
        <w:t xml:space="preserve">Todas las ecuaciones deben estar numeradas consecutivamente. Use el editor de ecuaciones incorporado provisto por Microsoft Word. Use la convención estándar para la composición tipográfica de las matemáticas: letras en cursiva para variables escalares y constantes, letras en negrita en minúsculas para vectores y letras en negrita en mayúsculas para matrices. Por ejemplo, todas las variables en la </w:t>
      </w:r>
      <w:proofErr w:type="spellStart"/>
      <w:proofErr w:type="gramStart"/>
      <w:r w:rsidR="005052BB">
        <w:rPr>
          <w:sz w:val="20"/>
          <w:lang w:val="es-CO"/>
        </w:rPr>
        <w:t>E</w:t>
      </w:r>
      <w:r w:rsidRPr="00DE7CCD">
        <w:rPr>
          <w:sz w:val="20"/>
          <w:lang w:val="es-CO"/>
        </w:rPr>
        <w:t>c</w:t>
      </w:r>
      <w:proofErr w:type="spellEnd"/>
      <w:r w:rsidR="005052BB">
        <w:rPr>
          <w:sz w:val="20"/>
          <w:lang w:val="es-CO"/>
        </w:rPr>
        <w:t>.</w:t>
      </w:r>
      <w:r w:rsidRPr="00DE7CCD">
        <w:rPr>
          <w:sz w:val="20"/>
          <w:lang w:val="es-CO"/>
        </w:rPr>
        <w:t>(</w:t>
      </w:r>
      <w:proofErr w:type="gramEnd"/>
      <w:r w:rsidRPr="00DE7CCD">
        <w:rPr>
          <w:sz w:val="20"/>
          <w:lang w:val="es-CO"/>
        </w:rPr>
        <w:t>1) son escalares.</w:t>
      </w:r>
    </w:p>
    <w:p w14:paraId="193AC9F2" w14:textId="77777777" w:rsidR="00752300" w:rsidRDefault="00752300" w:rsidP="00752300">
      <w:pPr>
        <w:rPr>
          <w:szCs w:val="20"/>
          <w:lang w:val="es-CO"/>
        </w:rPr>
      </w:pPr>
    </w:p>
    <w:p w14:paraId="7F621ACF" w14:textId="77777777" w:rsidR="00484693" w:rsidRPr="00690985" w:rsidRDefault="00484693" w:rsidP="00484693">
      <w:pPr>
        <w:jc w:val="center"/>
        <w:rPr>
          <w:szCs w:val="20"/>
          <w:lang w:val="en-US"/>
        </w:rPr>
      </w:pPr>
      <w:r w:rsidRPr="00F27BEB">
        <w:rPr>
          <w:b/>
          <w:bCs/>
          <w:noProof/>
          <w:lang w:val="en-US" w:eastAsia="en-US"/>
        </w:rPr>
        <w:drawing>
          <wp:inline distT="0" distB="0" distL="0" distR="0" wp14:anchorId="47C20BD8" wp14:editId="7A4D3668">
            <wp:extent cx="1663607" cy="1554111"/>
            <wp:effectExtent l="0" t="0" r="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0922" cy="1560945"/>
                    </a:xfrm>
                    <a:prstGeom prst="rect">
                      <a:avLst/>
                    </a:prstGeom>
                  </pic:spPr>
                </pic:pic>
              </a:graphicData>
            </a:graphic>
          </wp:inline>
        </w:drawing>
      </w:r>
    </w:p>
    <w:p w14:paraId="71AB657E" w14:textId="77777777" w:rsidR="00484693" w:rsidRPr="00DF057F" w:rsidRDefault="00484693" w:rsidP="00484693">
      <w:pPr>
        <w:keepLines/>
        <w:jc w:val="center"/>
        <w:rPr>
          <w:sz w:val="16"/>
          <w:szCs w:val="20"/>
          <w:lang w:val="es-CO"/>
        </w:rPr>
      </w:pPr>
      <w:r w:rsidRPr="00DF057F">
        <w:rPr>
          <w:sz w:val="16"/>
          <w:szCs w:val="20"/>
          <w:lang w:val="es-CO"/>
        </w:rPr>
        <w:t>Figure 1. Ejemplo de presentación de resultados.</w:t>
      </w:r>
    </w:p>
    <w:p w14:paraId="57617AFF" w14:textId="77777777" w:rsidR="00484693" w:rsidRDefault="00484693" w:rsidP="00484693">
      <w:pPr>
        <w:keepLines/>
        <w:jc w:val="center"/>
        <w:rPr>
          <w:sz w:val="16"/>
          <w:szCs w:val="20"/>
          <w:lang w:val="es-CO"/>
        </w:rPr>
      </w:pPr>
      <w:r w:rsidRPr="00460862">
        <w:rPr>
          <w:sz w:val="16"/>
          <w:szCs w:val="20"/>
          <w:lang w:val="es-CO"/>
        </w:rPr>
        <w:t>Fuente: [1</w:t>
      </w:r>
      <w:proofErr w:type="gramStart"/>
      <w:r w:rsidRPr="00460862">
        <w:rPr>
          <w:sz w:val="16"/>
          <w:szCs w:val="20"/>
          <w:lang w:val="es-CO"/>
        </w:rPr>
        <w:t xml:space="preserve">]  </w:t>
      </w:r>
      <w:proofErr w:type="spellStart"/>
      <w:r>
        <w:rPr>
          <w:sz w:val="16"/>
          <w:szCs w:val="20"/>
          <w:lang w:val="es-CO"/>
        </w:rPr>
        <w:t>ó</w:t>
      </w:r>
      <w:proofErr w:type="spellEnd"/>
      <w:proofErr w:type="gramEnd"/>
      <w:r w:rsidRPr="00460862">
        <w:rPr>
          <w:sz w:val="16"/>
          <w:szCs w:val="20"/>
          <w:lang w:val="es-CO"/>
        </w:rPr>
        <w:t xml:space="preserve">  Fuente: </w:t>
      </w:r>
      <w:r>
        <w:rPr>
          <w:sz w:val="16"/>
          <w:szCs w:val="20"/>
          <w:lang w:val="es-CO"/>
        </w:rPr>
        <w:t>Autor(es)</w:t>
      </w:r>
      <w:r w:rsidRPr="00460862">
        <w:rPr>
          <w:sz w:val="16"/>
          <w:szCs w:val="20"/>
          <w:lang w:val="es-CO"/>
        </w:rPr>
        <w:t>.</w:t>
      </w:r>
    </w:p>
    <w:p w14:paraId="51B87BF3" w14:textId="77777777" w:rsidR="00484693" w:rsidRPr="00460862" w:rsidRDefault="00484693" w:rsidP="00484693">
      <w:pPr>
        <w:keepLines/>
        <w:jc w:val="center"/>
        <w:rPr>
          <w:sz w:val="16"/>
          <w:szCs w:val="20"/>
          <w:lang w:val="es-CO"/>
        </w:rPr>
      </w:pPr>
    </w:p>
    <w:p w14:paraId="2D780806" w14:textId="77777777" w:rsidR="00484693" w:rsidRPr="00690985" w:rsidRDefault="00484693" w:rsidP="00752300">
      <w:pPr>
        <w:rPr>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710"/>
      </w:tblGrid>
      <w:tr w:rsidR="00752300" w:rsidRPr="00690985" w14:paraId="5159D3C2" w14:textId="77777777" w:rsidTr="00752300">
        <w:tc>
          <w:tcPr>
            <w:tcW w:w="4644" w:type="dxa"/>
          </w:tcPr>
          <w:p w14:paraId="70D8937C" w14:textId="77777777" w:rsidR="00752300" w:rsidRPr="00690985" w:rsidRDefault="00BB23E5" w:rsidP="00DE7CCD">
            <w:pPr>
              <w:rPr>
                <w:szCs w:val="20"/>
                <w:lang w:val="es-CO"/>
              </w:rPr>
            </w:pPr>
            <m:oMathPara>
              <m:oMath>
                <m:r>
                  <w:rPr>
                    <w:rFonts w:ascii="Cambria Math" w:hAnsi="Cambria Math"/>
                    <w:szCs w:val="20"/>
                    <w:lang w:val="es-CO"/>
                  </w:rPr>
                  <m:t>f</m:t>
                </m:r>
                <m:d>
                  <m:dPr>
                    <m:ctrlPr>
                      <w:rPr>
                        <w:rFonts w:ascii="Cambria Math" w:hAnsi="Cambria Math"/>
                        <w:i/>
                        <w:szCs w:val="20"/>
                        <w:lang w:val="es-CO"/>
                      </w:rPr>
                    </m:ctrlPr>
                  </m:dPr>
                  <m:e>
                    <m:r>
                      <w:rPr>
                        <w:rFonts w:ascii="Cambria Math" w:hAnsi="Cambria Math"/>
                        <w:szCs w:val="20"/>
                        <w:lang w:val="es-CO"/>
                      </w:rPr>
                      <m:t>T</m:t>
                    </m:r>
                  </m:e>
                </m:d>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σ</m:t>
                    </m:r>
                    <m:rad>
                      <m:radPr>
                        <m:degHide m:val="1"/>
                        <m:ctrlPr>
                          <w:rPr>
                            <w:rFonts w:ascii="Cambria Math" w:hAnsi="Cambria Math"/>
                            <w:i/>
                            <w:szCs w:val="20"/>
                            <w:lang w:val="es-CO"/>
                          </w:rPr>
                        </m:ctrlPr>
                      </m:radPr>
                      <m:deg/>
                      <m:e>
                        <m:r>
                          <w:rPr>
                            <w:rFonts w:ascii="Cambria Math" w:hAnsi="Cambria Math"/>
                            <w:szCs w:val="20"/>
                            <w:lang w:val="es-CO"/>
                          </w:rPr>
                          <m:t>2π</m:t>
                        </m:r>
                      </m:e>
                    </m:rad>
                  </m:den>
                </m:f>
                <m:func>
                  <m:funcPr>
                    <m:ctrlPr>
                      <w:rPr>
                        <w:rFonts w:ascii="Cambria Math" w:hAnsi="Cambria Math"/>
                        <w:i/>
                        <w:szCs w:val="20"/>
                        <w:lang w:val="es-CO"/>
                      </w:rPr>
                    </m:ctrlPr>
                  </m:funcPr>
                  <m:fName>
                    <m:r>
                      <m:rPr>
                        <m:sty m:val="p"/>
                      </m:rPr>
                      <w:rPr>
                        <w:rFonts w:ascii="Cambria Math" w:hAnsi="Cambria Math"/>
                        <w:szCs w:val="20"/>
                        <w:lang w:val="es-CO"/>
                      </w:rPr>
                      <m:t>exp</m:t>
                    </m:r>
                  </m:fName>
                  <m:e>
                    <m:d>
                      <m:dPr>
                        <m:begChr m:val="["/>
                        <m:endChr m:val="]"/>
                        <m:ctrlPr>
                          <w:rPr>
                            <w:rFonts w:ascii="Cambria Math" w:hAnsi="Cambria Math"/>
                            <w:i/>
                            <w:szCs w:val="20"/>
                            <w:lang w:val="es-CO"/>
                          </w:rPr>
                        </m:ctrlPr>
                      </m:dPr>
                      <m:e>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2</m:t>
                            </m:r>
                          </m:den>
                        </m:f>
                        <m:sSup>
                          <m:sSupPr>
                            <m:ctrlPr>
                              <w:rPr>
                                <w:rFonts w:ascii="Cambria Math" w:hAnsi="Cambria Math"/>
                                <w:i/>
                                <w:szCs w:val="20"/>
                                <w:lang w:val="es-CO"/>
                              </w:rPr>
                            </m:ctrlPr>
                          </m:sSupPr>
                          <m:e>
                            <m:d>
                              <m:dPr>
                                <m:ctrlPr>
                                  <w:rPr>
                                    <w:rFonts w:ascii="Cambria Math" w:hAnsi="Cambria Math"/>
                                    <w:i/>
                                    <w:szCs w:val="20"/>
                                    <w:lang w:val="es-CO"/>
                                  </w:rPr>
                                </m:ctrlPr>
                              </m:dPr>
                              <m:e>
                                <m:f>
                                  <m:fPr>
                                    <m:ctrlPr>
                                      <w:rPr>
                                        <w:rFonts w:ascii="Cambria Math" w:hAnsi="Cambria Math"/>
                                        <w:i/>
                                        <w:szCs w:val="20"/>
                                        <w:lang w:val="es-CO"/>
                                      </w:rPr>
                                    </m:ctrlPr>
                                  </m:fPr>
                                  <m:num>
                                    <m:r>
                                      <w:rPr>
                                        <w:rFonts w:ascii="Cambria Math" w:hAnsi="Cambria Math"/>
                                        <w:szCs w:val="20"/>
                                        <w:lang w:val="es-CO"/>
                                      </w:rPr>
                                      <m:t>T-μ</m:t>
                                    </m:r>
                                  </m:num>
                                  <m:den>
                                    <m:r>
                                      <w:rPr>
                                        <w:rFonts w:ascii="Cambria Math" w:hAnsi="Cambria Math"/>
                                        <w:szCs w:val="20"/>
                                        <w:lang w:val="es-CO"/>
                                      </w:rPr>
                                      <m:t>σ</m:t>
                                    </m:r>
                                  </m:den>
                                </m:f>
                              </m:e>
                            </m:d>
                          </m:e>
                          <m:sup>
                            <m:r>
                              <w:rPr>
                                <w:rFonts w:ascii="Cambria Math" w:hAnsi="Cambria Math"/>
                                <w:szCs w:val="20"/>
                                <w:lang w:val="es-CO"/>
                              </w:rPr>
                              <m:t>2</m:t>
                            </m:r>
                          </m:sup>
                        </m:sSup>
                      </m:e>
                    </m:d>
                  </m:e>
                </m:func>
              </m:oMath>
            </m:oMathPara>
          </w:p>
        </w:tc>
        <w:tc>
          <w:tcPr>
            <w:tcW w:w="545" w:type="dxa"/>
            <w:vAlign w:val="center"/>
          </w:tcPr>
          <w:p w14:paraId="3F9EFCED" w14:textId="77777777" w:rsidR="00752300" w:rsidRPr="00690985" w:rsidRDefault="00752300" w:rsidP="00752300">
            <w:pPr>
              <w:jc w:val="center"/>
              <w:rPr>
                <w:szCs w:val="20"/>
                <w:lang w:val="es-CO"/>
              </w:rPr>
            </w:pPr>
            <w:r w:rsidRPr="00690985">
              <w:rPr>
                <w:szCs w:val="20"/>
                <w:lang w:val="es-CO"/>
              </w:rPr>
              <w:t>(1)</w:t>
            </w:r>
          </w:p>
        </w:tc>
      </w:tr>
    </w:tbl>
    <w:p w14:paraId="7E1D9423" w14:textId="77777777" w:rsidR="00752300" w:rsidRPr="00690985" w:rsidRDefault="00752300" w:rsidP="00EF42AD">
      <w:pPr>
        <w:rPr>
          <w:sz w:val="16"/>
          <w:szCs w:val="20"/>
          <w:lang w:val="en-US"/>
        </w:rPr>
      </w:pPr>
    </w:p>
    <w:p w14:paraId="4FC8FAAD" w14:textId="77777777" w:rsidR="00752300" w:rsidRPr="00460862" w:rsidRDefault="00752300" w:rsidP="00752300">
      <w:pPr>
        <w:jc w:val="center"/>
        <w:rPr>
          <w:sz w:val="16"/>
          <w:szCs w:val="20"/>
          <w:lang w:val="es-CO"/>
        </w:rPr>
      </w:pPr>
    </w:p>
    <w:p w14:paraId="6C459157" w14:textId="77777777" w:rsidR="00681624" w:rsidRPr="00210A0C" w:rsidRDefault="00F57296" w:rsidP="0070016B">
      <w:pPr>
        <w:pStyle w:val="Ttulo1"/>
        <w:numPr>
          <w:ilvl w:val="0"/>
          <w:numId w:val="0"/>
        </w:numPr>
        <w:rPr>
          <w:rFonts w:cs="Times New Roman"/>
          <w:sz w:val="20"/>
          <w:lang w:val="es-CO"/>
        </w:rPr>
      </w:pPr>
      <w:r w:rsidRPr="00210A0C">
        <w:rPr>
          <w:rFonts w:cs="Times New Roman"/>
          <w:sz w:val="20"/>
          <w:lang w:val="es-CO"/>
        </w:rPr>
        <w:t xml:space="preserve">4 </w:t>
      </w:r>
      <w:r w:rsidR="00593055" w:rsidRPr="00141AF8">
        <w:rPr>
          <w:rFonts w:cs="Times New Roman"/>
          <w:sz w:val="22"/>
          <w:szCs w:val="22"/>
          <w:lang w:val="es-CO"/>
        </w:rPr>
        <w:t xml:space="preserve">Citación </w:t>
      </w:r>
      <w:r w:rsidR="0070016B">
        <w:rPr>
          <w:rFonts w:cs="Times New Roman"/>
          <w:sz w:val="22"/>
          <w:szCs w:val="22"/>
          <w:lang w:val="es-CO"/>
        </w:rPr>
        <w:t>de b</w:t>
      </w:r>
      <w:r w:rsidR="00681624" w:rsidRPr="00141AF8">
        <w:rPr>
          <w:rFonts w:cs="Times New Roman"/>
          <w:sz w:val="22"/>
          <w:szCs w:val="22"/>
          <w:lang w:val="es-CO"/>
        </w:rPr>
        <w:t>ibliogra</w:t>
      </w:r>
      <w:r w:rsidR="00210A0C" w:rsidRPr="00141AF8">
        <w:rPr>
          <w:rFonts w:cs="Times New Roman"/>
          <w:sz w:val="22"/>
          <w:szCs w:val="22"/>
          <w:lang w:val="es-CO"/>
        </w:rPr>
        <w:t>fía</w:t>
      </w:r>
      <w:r w:rsidR="00681624" w:rsidRPr="00141AF8">
        <w:rPr>
          <w:rFonts w:cs="Times New Roman"/>
          <w:sz w:val="22"/>
          <w:szCs w:val="22"/>
          <w:lang w:val="es-CO"/>
        </w:rPr>
        <w:t>, tabl</w:t>
      </w:r>
      <w:r w:rsidR="00210A0C" w:rsidRPr="00141AF8">
        <w:rPr>
          <w:rFonts w:cs="Times New Roman"/>
          <w:sz w:val="22"/>
          <w:szCs w:val="22"/>
          <w:lang w:val="es-CO"/>
        </w:rPr>
        <w:t>a</w:t>
      </w:r>
      <w:r w:rsidR="00681624" w:rsidRPr="00141AF8">
        <w:rPr>
          <w:rFonts w:cs="Times New Roman"/>
          <w:sz w:val="22"/>
          <w:szCs w:val="22"/>
          <w:lang w:val="es-CO"/>
        </w:rPr>
        <w:t>s</w:t>
      </w:r>
      <w:r w:rsidR="00210A0C" w:rsidRPr="00141AF8">
        <w:rPr>
          <w:rFonts w:cs="Times New Roman"/>
          <w:sz w:val="22"/>
          <w:szCs w:val="22"/>
          <w:lang w:val="es-CO"/>
        </w:rPr>
        <w:t xml:space="preserve">, </w:t>
      </w:r>
      <w:r w:rsidR="00681624" w:rsidRPr="00141AF8">
        <w:rPr>
          <w:rFonts w:cs="Times New Roman"/>
          <w:sz w:val="22"/>
          <w:szCs w:val="22"/>
          <w:lang w:val="es-CO"/>
        </w:rPr>
        <w:t>figures</w:t>
      </w:r>
      <w:r w:rsidR="00210A0C" w:rsidRPr="00141AF8">
        <w:rPr>
          <w:rFonts w:cs="Times New Roman"/>
          <w:sz w:val="22"/>
          <w:szCs w:val="22"/>
          <w:lang w:val="es-CO"/>
        </w:rPr>
        <w:t xml:space="preserve"> y ecuaciones</w:t>
      </w:r>
    </w:p>
    <w:p w14:paraId="43E5B649" w14:textId="77777777" w:rsidR="00681624" w:rsidRPr="00210A0C" w:rsidRDefault="00681624" w:rsidP="00EF42AD">
      <w:pPr>
        <w:rPr>
          <w:szCs w:val="20"/>
          <w:lang w:val="es-CO"/>
        </w:rPr>
      </w:pPr>
    </w:p>
    <w:p w14:paraId="5E8ED5C6" w14:textId="77777777" w:rsidR="00870B94" w:rsidRPr="00C5787C" w:rsidRDefault="00C5787C" w:rsidP="00C5787C">
      <w:pPr>
        <w:rPr>
          <w:sz w:val="20"/>
          <w:szCs w:val="20"/>
          <w:lang w:val="es-CO"/>
        </w:rPr>
      </w:pPr>
      <w:r w:rsidRPr="00C5787C">
        <w:rPr>
          <w:sz w:val="20"/>
          <w:szCs w:val="20"/>
          <w:lang w:val="es-CO"/>
        </w:rPr>
        <w:t>E</w:t>
      </w:r>
      <w:r w:rsidR="00870B94" w:rsidRPr="00C5787C">
        <w:rPr>
          <w:sz w:val="20"/>
          <w:szCs w:val="20"/>
          <w:lang w:val="es-CO"/>
        </w:rPr>
        <w:t xml:space="preserve">n </w:t>
      </w:r>
      <w:r w:rsidRPr="00C5787C">
        <w:rPr>
          <w:sz w:val="20"/>
          <w:szCs w:val="20"/>
          <w:lang w:val="es-CO"/>
        </w:rPr>
        <w:t xml:space="preserve">el </w:t>
      </w:r>
      <w:r w:rsidR="00870B94" w:rsidRPr="00C5787C">
        <w:rPr>
          <w:sz w:val="20"/>
          <w:szCs w:val="20"/>
          <w:lang w:val="es-CO"/>
        </w:rPr>
        <w:t>text</w:t>
      </w:r>
      <w:r w:rsidRPr="00C5787C">
        <w:rPr>
          <w:sz w:val="20"/>
          <w:szCs w:val="20"/>
          <w:lang w:val="es-CO"/>
        </w:rPr>
        <w:t>o</w:t>
      </w:r>
      <w:r w:rsidR="00870B94" w:rsidRPr="00C5787C">
        <w:rPr>
          <w:sz w:val="20"/>
          <w:szCs w:val="20"/>
          <w:lang w:val="es-CO"/>
        </w:rPr>
        <w:t xml:space="preserve">, </w:t>
      </w:r>
      <w:r w:rsidRPr="00C5787C">
        <w:rPr>
          <w:sz w:val="20"/>
          <w:szCs w:val="20"/>
          <w:lang w:val="es-CO"/>
        </w:rPr>
        <w:t>las referencias bibliográficas</w:t>
      </w:r>
      <w:r w:rsidR="00870B94" w:rsidRPr="00C5787C">
        <w:rPr>
          <w:sz w:val="20"/>
          <w:szCs w:val="20"/>
          <w:lang w:val="es-CO"/>
        </w:rPr>
        <w:t xml:space="preserve"> </w:t>
      </w:r>
      <w:r w:rsidRPr="00C5787C">
        <w:rPr>
          <w:sz w:val="20"/>
          <w:szCs w:val="20"/>
          <w:lang w:val="es-CO"/>
        </w:rPr>
        <w:t>se usan así</w:t>
      </w:r>
      <w:r w:rsidR="00744A02">
        <w:rPr>
          <w:sz w:val="20"/>
          <w:szCs w:val="20"/>
          <w:lang w:val="es-CO"/>
        </w:rPr>
        <w:t>:</w:t>
      </w:r>
      <w:r w:rsidR="00211C35" w:rsidRPr="00C5787C">
        <w:rPr>
          <w:sz w:val="20"/>
          <w:szCs w:val="20"/>
          <w:lang w:val="es-CO"/>
        </w:rPr>
        <w:t xml:space="preserve"> [1,2] </w:t>
      </w:r>
      <w:r>
        <w:rPr>
          <w:sz w:val="20"/>
          <w:szCs w:val="20"/>
          <w:lang w:val="es-CO"/>
        </w:rPr>
        <w:t xml:space="preserve">o </w:t>
      </w:r>
      <w:r w:rsidR="00870B94" w:rsidRPr="00C5787C">
        <w:rPr>
          <w:sz w:val="20"/>
          <w:szCs w:val="20"/>
          <w:lang w:val="es-CO"/>
        </w:rPr>
        <w:t xml:space="preserve">[1-3].  </w:t>
      </w:r>
      <w:r w:rsidRPr="00C5787C">
        <w:rPr>
          <w:sz w:val="20"/>
          <w:szCs w:val="20"/>
          <w:lang w:val="es-CO"/>
        </w:rPr>
        <w:t xml:space="preserve">Para citar las figuras </w:t>
      </w:r>
      <w:r w:rsidR="00870B94" w:rsidRPr="00C5787C">
        <w:rPr>
          <w:sz w:val="20"/>
          <w:szCs w:val="20"/>
          <w:lang w:val="es-CO"/>
        </w:rPr>
        <w:t xml:space="preserve">use Fig. 1 </w:t>
      </w:r>
      <w:r>
        <w:rPr>
          <w:sz w:val="20"/>
          <w:szCs w:val="20"/>
          <w:lang w:val="es-CO"/>
        </w:rPr>
        <w:t>o Fig.</w:t>
      </w:r>
      <w:r w:rsidR="00870B94" w:rsidRPr="00C5787C">
        <w:rPr>
          <w:sz w:val="20"/>
          <w:szCs w:val="20"/>
          <w:lang w:val="es-CO"/>
        </w:rPr>
        <w:t>1</w:t>
      </w:r>
      <w:r>
        <w:rPr>
          <w:sz w:val="20"/>
          <w:szCs w:val="20"/>
          <w:lang w:val="es-CO"/>
        </w:rPr>
        <w:t>-</w:t>
      </w:r>
      <w:r w:rsidR="00870B94" w:rsidRPr="00C5787C">
        <w:rPr>
          <w:sz w:val="20"/>
          <w:szCs w:val="20"/>
          <w:lang w:val="es-CO"/>
        </w:rPr>
        <w:t>5</w:t>
      </w:r>
      <w:r>
        <w:rPr>
          <w:sz w:val="20"/>
          <w:szCs w:val="20"/>
          <w:lang w:val="es-CO"/>
        </w:rPr>
        <w:t>, o Fig.1,3 y 7</w:t>
      </w:r>
      <w:r w:rsidR="00870B94" w:rsidRPr="00C5787C">
        <w:rPr>
          <w:sz w:val="20"/>
          <w:szCs w:val="20"/>
          <w:lang w:val="es-CO"/>
        </w:rPr>
        <w:t>.</w:t>
      </w:r>
      <w:r>
        <w:rPr>
          <w:sz w:val="20"/>
          <w:szCs w:val="20"/>
          <w:lang w:val="es-CO"/>
        </w:rPr>
        <w:t xml:space="preserve"> </w:t>
      </w:r>
      <w:r w:rsidRPr="00C5787C">
        <w:rPr>
          <w:sz w:val="20"/>
          <w:szCs w:val="20"/>
          <w:lang w:val="es-CO"/>
        </w:rPr>
        <w:t>Para ecuaciones</w:t>
      </w:r>
      <w:r w:rsidR="00870B94" w:rsidRPr="00C5787C">
        <w:rPr>
          <w:sz w:val="20"/>
          <w:szCs w:val="20"/>
          <w:lang w:val="es-CO"/>
        </w:rPr>
        <w:t xml:space="preserve"> use </w:t>
      </w:r>
      <w:proofErr w:type="spellStart"/>
      <w:proofErr w:type="gramStart"/>
      <w:r w:rsidRPr="00C5787C">
        <w:rPr>
          <w:sz w:val="20"/>
          <w:szCs w:val="20"/>
          <w:lang w:val="es-CO"/>
        </w:rPr>
        <w:t>Ec</w:t>
      </w:r>
      <w:proofErr w:type="spellEnd"/>
      <w:r w:rsidRPr="00C5787C">
        <w:rPr>
          <w:sz w:val="20"/>
          <w:szCs w:val="20"/>
          <w:lang w:val="es-CO"/>
        </w:rPr>
        <w:t>.</w:t>
      </w:r>
      <w:r w:rsidR="00870B94" w:rsidRPr="00C5787C">
        <w:rPr>
          <w:sz w:val="20"/>
          <w:szCs w:val="20"/>
          <w:lang w:val="es-CO"/>
        </w:rPr>
        <w:t>(</w:t>
      </w:r>
      <w:proofErr w:type="gramEnd"/>
      <w:r w:rsidR="00870B94" w:rsidRPr="00C5787C">
        <w:rPr>
          <w:sz w:val="20"/>
          <w:szCs w:val="20"/>
          <w:lang w:val="es-CO"/>
        </w:rPr>
        <w:t>1)</w:t>
      </w:r>
      <w:r w:rsidRPr="00C5787C">
        <w:rPr>
          <w:sz w:val="20"/>
          <w:szCs w:val="20"/>
          <w:lang w:val="es-CO"/>
        </w:rPr>
        <w:t xml:space="preserve"> o </w:t>
      </w:r>
      <w:proofErr w:type="spellStart"/>
      <w:r w:rsidRPr="00C5787C">
        <w:rPr>
          <w:sz w:val="20"/>
          <w:szCs w:val="20"/>
          <w:lang w:val="es-CO"/>
        </w:rPr>
        <w:t>Ec</w:t>
      </w:r>
      <w:proofErr w:type="spellEnd"/>
      <w:r w:rsidRPr="00C5787C">
        <w:rPr>
          <w:sz w:val="20"/>
          <w:szCs w:val="20"/>
          <w:lang w:val="es-CO"/>
        </w:rPr>
        <w:t>.</w:t>
      </w:r>
      <w:r>
        <w:rPr>
          <w:sz w:val="20"/>
          <w:szCs w:val="20"/>
          <w:lang w:val="es-CO"/>
        </w:rPr>
        <w:t>(1)</w:t>
      </w:r>
      <w:r w:rsidR="00870B94" w:rsidRPr="00C5787C">
        <w:rPr>
          <w:sz w:val="20"/>
          <w:szCs w:val="20"/>
          <w:lang w:val="es-CO"/>
        </w:rPr>
        <w:t>-(5).</w:t>
      </w:r>
    </w:p>
    <w:p w14:paraId="28AC032B" w14:textId="77777777" w:rsidR="00870B94" w:rsidRDefault="00870B94" w:rsidP="00EF42AD">
      <w:pPr>
        <w:rPr>
          <w:szCs w:val="20"/>
          <w:lang w:val="es-CO"/>
        </w:rPr>
      </w:pPr>
    </w:p>
    <w:p w14:paraId="6A025439" w14:textId="77777777" w:rsidR="00A67CFD" w:rsidRPr="00C5787C" w:rsidRDefault="00A67CFD" w:rsidP="00EF42AD">
      <w:pPr>
        <w:rPr>
          <w:szCs w:val="20"/>
          <w:lang w:val="es-CO"/>
        </w:rPr>
      </w:pPr>
    </w:p>
    <w:p w14:paraId="7665F31C" w14:textId="77777777" w:rsidR="00870B94" w:rsidRPr="009B0FB4" w:rsidRDefault="0059674A" w:rsidP="0070016B">
      <w:pPr>
        <w:pStyle w:val="ADYNATitulo1"/>
        <w:jc w:val="both"/>
        <w:rPr>
          <w:rFonts w:cs="Times New Roman"/>
          <w:sz w:val="20"/>
          <w:lang w:val="es-CO"/>
        </w:rPr>
      </w:pPr>
      <w:proofErr w:type="gramStart"/>
      <w:r w:rsidRPr="009B0FB4">
        <w:rPr>
          <w:rFonts w:cs="Times New Roman"/>
          <w:sz w:val="20"/>
          <w:lang w:val="es-CO"/>
        </w:rPr>
        <w:t xml:space="preserve">5  </w:t>
      </w:r>
      <w:r w:rsidR="00F57296" w:rsidRPr="009B0FB4">
        <w:rPr>
          <w:rFonts w:cs="Times New Roman"/>
          <w:sz w:val="22"/>
          <w:lang w:val="es-CO"/>
        </w:rPr>
        <w:t>Formato</w:t>
      </w:r>
      <w:r w:rsidR="009B0FB4" w:rsidRPr="009B0FB4">
        <w:rPr>
          <w:rFonts w:cs="Times New Roman"/>
          <w:sz w:val="22"/>
          <w:lang w:val="es-CO"/>
        </w:rPr>
        <w:t>s</w:t>
      </w:r>
      <w:proofErr w:type="gramEnd"/>
      <w:r w:rsidR="00F57296" w:rsidRPr="009B0FB4">
        <w:rPr>
          <w:rFonts w:cs="Times New Roman"/>
          <w:sz w:val="22"/>
          <w:lang w:val="es-CO"/>
        </w:rPr>
        <w:t xml:space="preserve"> de referencias bibliográficas</w:t>
      </w:r>
    </w:p>
    <w:p w14:paraId="402C624C" w14:textId="77777777" w:rsidR="00870B94" w:rsidRPr="009B0FB4" w:rsidRDefault="00870B94" w:rsidP="00EF42AD">
      <w:pPr>
        <w:rPr>
          <w:szCs w:val="20"/>
          <w:lang w:val="es-CO"/>
        </w:rPr>
      </w:pPr>
    </w:p>
    <w:p w14:paraId="01C3D175" w14:textId="77777777" w:rsidR="00870B94" w:rsidRPr="003F275D" w:rsidRDefault="009F2DB6" w:rsidP="00DF60C0">
      <w:pPr>
        <w:ind w:firstLine="0"/>
        <w:rPr>
          <w:i/>
          <w:sz w:val="20"/>
          <w:lang w:val="es-CO"/>
        </w:rPr>
      </w:pPr>
      <w:r w:rsidRPr="003F275D">
        <w:rPr>
          <w:i/>
          <w:sz w:val="20"/>
          <w:lang w:val="es-CO"/>
        </w:rPr>
        <w:t xml:space="preserve">5.1 </w:t>
      </w:r>
      <w:r w:rsidR="00427969" w:rsidRPr="003F275D">
        <w:rPr>
          <w:i/>
          <w:sz w:val="20"/>
          <w:lang w:val="es-CO"/>
        </w:rPr>
        <w:t>L</w:t>
      </w:r>
      <w:r w:rsidR="00F57296" w:rsidRPr="003F275D">
        <w:rPr>
          <w:i/>
          <w:sz w:val="20"/>
          <w:lang w:val="es-CO"/>
        </w:rPr>
        <w:t>ibros</w:t>
      </w:r>
    </w:p>
    <w:p w14:paraId="504732CB" w14:textId="77777777" w:rsidR="00870B94" w:rsidRPr="00721DC7" w:rsidRDefault="00721DC7" w:rsidP="00DF60C0">
      <w:pPr>
        <w:pStyle w:val="ADYNABibliografia"/>
        <w:spacing w:after="0"/>
        <w:ind w:firstLine="0"/>
        <w:rPr>
          <w:sz w:val="20"/>
        </w:rPr>
      </w:pPr>
      <w:r w:rsidRPr="00721DC7">
        <w:rPr>
          <w:sz w:val="20"/>
        </w:rPr>
        <w:t>Masters</w:t>
      </w:r>
      <w:r w:rsidR="00870B94" w:rsidRPr="00721DC7">
        <w:rPr>
          <w:sz w:val="20"/>
        </w:rPr>
        <w:t xml:space="preserve"> T.</w:t>
      </w:r>
      <w:r w:rsidRPr="00721DC7">
        <w:rPr>
          <w:sz w:val="20"/>
        </w:rPr>
        <w:t>,</w:t>
      </w:r>
      <w:r w:rsidR="00870B94" w:rsidRPr="00721DC7">
        <w:rPr>
          <w:sz w:val="20"/>
        </w:rPr>
        <w:t xml:space="preserve"> Neural Network Recipes in C++. New York: Academic Press, 1993.</w:t>
      </w:r>
    </w:p>
    <w:p w14:paraId="567485EA" w14:textId="77777777" w:rsidR="00535E22" w:rsidRPr="00721DC7" w:rsidRDefault="00535E22" w:rsidP="00A67CFD">
      <w:pPr>
        <w:pStyle w:val="ADYNABibliografia"/>
        <w:spacing w:after="0"/>
        <w:ind w:firstLine="0"/>
        <w:rPr>
          <w:sz w:val="20"/>
        </w:rPr>
      </w:pPr>
    </w:p>
    <w:p w14:paraId="4F424FA1" w14:textId="77777777" w:rsidR="000B4D09" w:rsidRPr="009F2DB6" w:rsidRDefault="00721DC7" w:rsidP="009F2DB6">
      <w:pPr>
        <w:pStyle w:val="ADYNABibliografia"/>
        <w:spacing w:after="80"/>
        <w:ind w:firstLine="0"/>
        <w:jc w:val="left"/>
        <w:rPr>
          <w:sz w:val="20"/>
        </w:rPr>
      </w:pPr>
      <w:r>
        <w:rPr>
          <w:sz w:val="20"/>
        </w:rPr>
        <w:t xml:space="preserve">Dvorak R., </w:t>
      </w:r>
      <w:proofErr w:type="spellStart"/>
      <w:r w:rsidR="000B4D09" w:rsidRPr="009F2DB6">
        <w:rPr>
          <w:sz w:val="20"/>
        </w:rPr>
        <w:t>Ferraz</w:t>
      </w:r>
      <w:proofErr w:type="spellEnd"/>
      <w:r w:rsidR="000B4D09" w:rsidRPr="009F2DB6">
        <w:rPr>
          <w:sz w:val="20"/>
        </w:rPr>
        <w:t>-Mello, S., Eds., A Comparison of the dynamical evolution of planetary sy</w:t>
      </w:r>
      <w:r w:rsidR="009F2DB6">
        <w:rPr>
          <w:sz w:val="20"/>
        </w:rPr>
        <w:t xml:space="preserve">stems, Austria, Springer, 2004. </w:t>
      </w:r>
      <w:r w:rsidR="000B4D09" w:rsidRPr="009F2DB6">
        <w:rPr>
          <w:sz w:val="20"/>
        </w:rPr>
        <w:t>http://dx.doi.org/10.1007/1-4020-4466-6#sthash.TMeZ8aSQ.dpuf</w:t>
      </w:r>
    </w:p>
    <w:p w14:paraId="3DF5A35D" w14:textId="77777777" w:rsidR="003B6567" w:rsidRPr="00721DC7" w:rsidRDefault="009F2DB6" w:rsidP="00DF60C0">
      <w:pPr>
        <w:ind w:firstLine="0"/>
        <w:rPr>
          <w:i/>
          <w:sz w:val="20"/>
          <w:lang w:val="es-CO"/>
        </w:rPr>
      </w:pPr>
      <w:r w:rsidRPr="00721DC7">
        <w:rPr>
          <w:i/>
          <w:sz w:val="20"/>
          <w:lang w:val="es-CO"/>
        </w:rPr>
        <w:t xml:space="preserve">5.2 </w:t>
      </w:r>
      <w:r w:rsidR="00427969" w:rsidRPr="00721DC7">
        <w:rPr>
          <w:i/>
          <w:sz w:val="20"/>
          <w:lang w:val="es-CO"/>
        </w:rPr>
        <w:t>C</w:t>
      </w:r>
      <w:r w:rsidR="00F57296" w:rsidRPr="00721DC7">
        <w:rPr>
          <w:i/>
          <w:sz w:val="20"/>
          <w:lang w:val="es-CO"/>
        </w:rPr>
        <w:t>apítulos de libro</w:t>
      </w:r>
    </w:p>
    <w:p w14:paraId="1388F264" w14:textId="77777777" w:rsidR="003B6567" w:rsidRPr="00C5787C" w:rsidRDefault="003B6567" w:rsidP="00DF60C0">
      <w:pPr>
        <w:pStyle w:val="ADYNABibliografia"/>
        <w:spacing w:after="0"/>
        <w:ind w:firstLine="0"/>
        <w:rPr>
          <w:sz w:val="20"/>
          <w:lang w:val="es-CO"/>
        </w:rPr>
      </w:pPr>
      <w:proofErr w:type="spellStart"/>
      <w:r w:rsidRPr="00C5787C">
        <w:rPr>
          <w:sz w:val="20"/>
          <w:lang w:val="es-CO"/>
        </w:rPr>
        <w:t>Moyor</w:t>
      </w:r>
      <w:proofErr w:type="spellEnd"/>
      <w:r w:rsidRPr="00C5787C">
        <w:rPr>
          <w:sz w:val="20"/>
          <w:lang w:val="es-CO"/>
        </w:rPr>
        <w:t xml:space="preserve"> M.A.</w:t>
      </w:r>
      <w:r w:rsidR="00721DC7">
        <w:rPr>
          <w:sz w:val="20"/>
          <w:lang w:val="es-CO"/>
        </w:rPr>
        <w:t>,</w:t>
      </w:r>
      <w:r w:rsidRPr="00C5787C">
        <w:rPr>
          <w:sz w:val="20"/>
          <w:lang w:val="es-CO"/>
        </w:rPr>
        <w:t xml:space="preserve"> Evaluación del lenguaje de ingeniería, en Verdugo – Alonso J. Evaluación curricular: una guía para la intervención del ingeniero, 2a ed., Madrid, Salvat, 1994. pp. 324-344.</w:t>
      </w:r>
    </w:p>
    <w:p w14:paraId="07C7A45F" w14:textId="77777777" w:rsidR="00DF60C0" w:rsidRPr="00C5787C" w:rsidRDefault="00DF60C0" w:rsidP="00C5787C">
      <w:pPr>
        <w:pStyle w:val="ADYNABibliografia"/>
        <w:spacing w:after="0"/>
        <w:ind w:firstLine="0"/>
        <w:rPr>
          <w:sz w:val="20"/>
          <w:lang w:val="es-CO"/>
        </w:rPr>
      </w:pPr>
    </w:p>
    <w:p w14:paraId="10F99347" w14:textId="77777777" w:rsidR="000773BE" w:rsidRPr="003F275D" w:rsidRDefault="00721DC7" w:rsidP="00C5787C">
      <w:pPr>
        <w:pStyle w:val="ADYNABibliografia"/>
        <w:spacing w:after="0"/>
        <w:ind w:firstLine="0"/>
        <w:rPr>
          <w:sz w:val="20"/>
        </w:rPr>
      </w:pPr>
      <w:proofErr w:type="spellStart"/>
      <w:r>
        <w:rPr>
          <w:sz w:val="20"/>
        </w:rPr>
        <w:t>Hoyles</w:t>
      </w:r>
      <w:proofErr w:type="spellEnd"/>
      <w:r>
        <w:rPr>
          <w:sz w:val="20"/>
        </w:rPr>
        <w:t xml:space="preserve"> C., </w:t>
      </w:r>
      <w:proofErr w:type="spellStart"/>
      <w:r>
        <w:rPr>
          <w:sz w:val="20"/>
        </w:rPr>
        <w:t>Noss</w:t>
      </w:r>
      <w:proofErr w:type="spellEnd"/>
      <w:r>
        <w:rPr>
          <w:sz w:val="20"/>
        </w:rPr>
        <w:t xml:space="preserve"> </w:t>
      </w:r>
      <w:r w:rsidR="000773BE" w:rsidRPr="00721DC7">
        <w:rPr>
          <w:sz w:val="20"/>
        </w:rPr>
        <w:t xml:space="preserve">R., What can digital technologies take from and bring to research in mathematics education? in Bishop, A.J. et al. </w:t>
      </w:r>
      <w:r w:rsidR="000773BE" w:rsidRPr="003F275D">
        <w:rPr>
          <w:sz w:val="20"/>
        </w:rPr>
        <w:t xml:space="preserve">Second International Handbook of Mathematics </w:t>
      </w:r>
      <w:r w:rsidR="000773BE" w:rsidRPr="003F275D">
        <w:rPr>
          <w:sz w:val="20"/>
        </w:rPr>
        <w:lastRenderedPageBreak/>
        <w:t xml:space="preserve">Education, 2nd edition, Dordrecht, Kluwer Academic, 2003, pp. 323-349.  </w:t>
      </w:r>
      <w:hyperlink r:id="rId15" w:tgtFrame="_blank" w:history="1">
        <w:r w:rsidR="000773BE" w:rsidRPr="003F275D">
          <w:rPr>
            <w:sz w:val="20"/>
          </w:rPr>
          <w:t>http://dx.doi.org/10.1007/978-94-010-0273-8_11</w:t>
        </w:r>
      </w:hyperlink>
    </w:p>
    <w:p w14:paraId="5193B833" w14:textId="77777777" w:rsidR="00A67CFD" w:rsidRPr="003F275D" w:rsidRDefault="00A67CFD" w:rsidP="00DF60C0">
      <w:pPr>
        <w:ind w:firstLine="0"/>
        <w:rPr>
          <w:b/>
          <w:sz w:val="20"/>
          <w:lang w:val="en-US"/>
        </w:rPr>
      </w:pPr>
    </w:p>
    <w:p w14:paraId="2B0E5937" w14:textId="77777777" w:rsidR="00870B94" w:rsidRPr="00721DC7" w:rsidRDefault="009F2DB6" w:rsidP="00DF60C0">
      <w:pPr>
        <w:ind w:firstLine="0"/>
        <w:rPr>
          <w:b/>
          <w:sz w:val="20"/>
          <w:lang w:val="en-US"/>
        </w:rPr>
      </w:pPr>
      <w:r>
        <w:rPr>
          <w:i/>
          <w:sz w:val="20"/>
          <w:lang w:val="en-US"/>
        </w:rPr>
        <w:t xml:space="preserve">5.3 </w:t>
      </w:r>
      <w:proofErr w:type="spellStart"/>
      <w:r w:rsidR="00F57296" w:rsidRPr="009F2DB6">
        <w:rPr>
          <w:i/>
          <w:sz w:val="20"/>
          <w:lang w:val="en-US"/>
        </w:rPr>
        <w:t>Artículos</w:t>
      </w:r>
      <w:proofErr w:type="spellEnd"/>
      <w:r w:rsidR="00F57296" w:rsidRPr="009F2DB6">
        <w:rPr>
          <w:i/>
          <w:sz w:val="20"/>
          <w:lang w:val="en-US"/>
        </w:rPr>
        <w:t xml:space="preserve"> de </w:t>
      </w:r>
      <w:proofErr w:type="spellStart"/>
      <w:r w:rsidR="00F57296" w:rsidRPr="009F2DB6">
        <w:rPr>
          <w:i/>
          <w:sz w:val="20"/>
          <w:lang w:val="en-US"/>
        </w:rPr>
        <w:t>memorias</w:t>
      </w:r>
      <w:proofErr w:type="spellEnd"/>
      <w:r w:rsidR="00F57296" w:rsidRPr="009F2DB6">
        <w:rPr>
          <w:i/>
          <w:sz w:val="20"/>
          <w:lang w:val="en-US"/>
        </w:rPr>
        <w:t xml:space="preserve"> de </w:t>
      </w:r>
      <w:proofErr w:type="spellStart"/>
      <w:r w:rsidR="00F57296" w:rsidRPr="009F2DB6">
        <w:rPr>
          <w:i/>
          <w:sz w:val="20"/>
          <w:lang w:val="en-US"/>
        </w:rPr>
        <w:t>eventos</w:t>
      </w:r>
      <w:proofErr w:type="spellEnd"/>
    </w:p>
    <w:p w14:paraId="608160E7" w14:textId="77777777" w:rsidR="00870B94" w:rsidRPr="00721DC7" w:rsidRDefault="00721DC7" w:rsidP="00DF60C0">
      <w:pPr>
        <w:pStyle w:val="ADYNABibliografia"/>
        <w:spacing w:after="0"/>
        <w:ind w:firstLine="0"/>
        <w:rPr>
          <w:sz w:val="20"/>
        </w:rPr>
      </w:pPr>
      <w:proofErr w:type="spellStart"/>
      <w:r>
        <w:rPr>
          <w:sz w:val="20"/>
        </w:rPr>
        <w:t>Jeng</w:t>
      </w:r>
      <w:proofErr w:type="spellEnd"/>
      <w:r w:rsidRPr="00721DC7">
        <w:rPr>
          <w:sz w:val="20"/>
        </w:rPr>
        <w:t xml:space="preserve"> J.</w:t>
      </w:r>
      <w:r>
        <w:rPr>
          <w:sz w:val="20"/>
        </w:rPr>
        <w:t>T., Chuang C.</w:t>
      </w:r>
      <w:r w:rsidR="00870B94" w:rsidRPr="00721DC7">
        <w:rPr>
          <w:sz w:val="20"/>
        </w:rPr>
        <w:t>C.</w:t>
      </w:r>
      <w:r>
        <w:rPr>
          <w:sz w:val="20"/>
        </w:rPr>
        <w:t>,</w:t>
      </w:r>
      <w:r w:rsidR="00870B94" w:rsidRPr="00721DC7">
        <w:rPr>
          <w:sz w:val="20"/>
        </w:rPr>
        <w:t xml:space="preserve"> Chuang, C.-T., Support vector regression based LTS-CPBUM neural networks, Proceedings of SICE Annual Conference (SICE), </w:t>
      </w:r>
      <w:r w:rsidR="007102A0" w:rsidRPr="00721DC7">
        <w:rPr>
          <w:sz w:val="20"/>
        </w:rPr>
        <w:t>2011. pp. 215-220.</w:t>
      </w:r>
      <w:r w:rsidR="00870B94" w:rsidRPr="00721DC7">
        <w:rPr>
          <w:sz w:val="20"/>
        </w:rPr>
        <w:t xml:space="preserve"> </w:t>
      </w:r>
    </w:p>
    <w:p w14:paraId="5E6F7A86" w14:textId="77777777" w:rsidR="00A67CFD" w:rsidRDefault="00A67CFD" w:rsidP="00DF60C0">
      <w:pPr>
        <w:ind w:firstLine="0"/>
        <w:rPr>
          <w:b/>
          <w:sz w:val="20"/>
          <w:lang w:val="en-US"/>
        </w:rPr>
      </w:pPr>
    </w:p>
    <w:p w14:paraId="75BC4323" w14:textId="77777777" w:rsidR="00870B94" w:rsidRPr="009F2DB6" w:rsidRDefault="009F2DB6" w:rsidP="00DF60C0">
      <w:pPr>
        <w:ind w:firstLine="0"/>
        <w:rPr>
          <w:i/>
          <w:sz w:val="20"/>
          <w:lang w:val="en-US"/>
        </w:rPr>
      </w:pPr>
      <w:r w:rsidRPr="009F2DB6">
        <w:rPr>
          <w:i/>
          <w:sz w:val="20"/>
          <w:lang w:val="en-US"/>
        </w:rPr>
        <w:t xml:space="preserve">5.4 </w:t>
      </w:r>
      <w:proofErr w:type="spellStart"/>
      <w:r w:rsidR="002531EA" w:rsidRPr="009F2DB6">
        <w:rPr>
          <w:i/>
          <w:sz w:val="20"/>
          <w:lang w:val="en-US"/>
        </w:rPr>
        <w:t>Tesis</w:t>
      </w:r>
      <w:proofErr w:type="spellEnd"/>
    </w:p>
    <w:p w14:paraId="52689B76" w14:textId="77777777" w:rsidR="00870B94" w:rsidRPr="003F275D" w:rsidRDefault="00870B94" w:rsidP="00DF60C0">
      <w:pPr>
        <w:pStyle w:val="ADYNABibliografia"/>
        <w:spacing w:after="0"/>
        <w:ind w:firstLine="0"/>
        <w:rPr>
          <w:sz w:val="20"/>
        </w:rPr>
      </w:pPr>
      <w:r w:rsidRPr="003F275D">
        <w:rPr>
          <w:sz w:val="20"/>
        </w:rPr>
        <w:t>Kawasaki, N. Parametric study of thermal and chemica</w:t>
      </w:r>
      <w:r w:rsidR="000773BE" w:rsidRPr="003F275D">
        <w:rPr>
          <w:sz w:val="20"/>
        </w:rPr>
        <w:t>l nonequilibrium nozzle flow, M</w:t>
      </w:r>
      <w:r w:rsidRPr="003F275D">
        <w:rPr>
          <w:sz w:val="20"/>
        </w:rPr>
        <w:t>S</w:t>
      </w:r>
      <w:r w:rsidR="000773BE" w:rsidRPr="003F275D">
        <w:rPr>
          <w:sz w:val="20"/>
        </w:rPr>
        <w:t>c</w:t>
      </w:r>
      <w:r w:rsidRPr="003F275D">
        <w:rPr>
          <w:sz w:val="20"/>
        </w:rPr>
        <w:t>. Thesis, Department of Electronic Engineering, Osaka University, Osaka, Japan, 1993.</w:t>
      </w:r>
    </w:p>
    <w:p w14:paraId="1220E08D" w14:textId="77777777" w:rsidR="002531EA" w:rsidRPr="003F275D" w:rsidRDefault="002531EA" w:rsidP="00C5787C">
      <w:pPr>
        <w:pStyle w:val="ADYNABibliografia"/>
        <w:spacing w:after="0"/>
        <w:ind w:firstLine="0"/>
        <w:rPr>
          <w:sz w:val="20"/>
        </w:rPr>
      </w:pPr>
    </w:p>
    <w:p w14:paraId="12533D2B" w14:textId="77777777" w:rsidR="00870B94" w:rsidRPr="003F275D" w:rsidRDefault="00870B94" w:rsidP="00C5787C">
      <w:pPr>
        <w:pStyle w:val="ADYNABibliografia"/>
        <w:spacing w:after="0"/>
        <w:ind w:firstLine="0"/>
        <w:rPr>
          <w:sz w:val="20"/>
        </w:rPr>
      </w:pPr>
      <w:r w:rsidRPr="003F275D">
        <w:rPr>
          <w:sz w:val="20"/>
        </w:rPr>
        <w:t>Williams,</w:t>
      </w:r>
      <w:r w:rsidR="000773BE" w:rsidRPr="003F275D">
        <w:rPr>
          <w:sz w:val="20"/>
        </w:rPr>
        <w:t xml:space="preserve"> J. O. Narrow-band analyzer, Ph</w:t>
      </w:r>
      <w:r w:rsidRPr="003F275D">
        <w:rPr>
          <w:sz w:val="20"/>
        </w:rPr>
        <w:t>D dissertation, Department of Electrical Engineering, Harvard University, Cambridge, MA, 1993.</w:t>
      </w:r>
    </w:p>
    <w:p w14:paraId="1E5E5A16" w14:textId="77777777" w:rsidR="00A67CFD" w:rsidRPr="003F275D" w:rsidRDefault="00A67CFD" w:rsidP="00DF60C0">
      <w:pPr>
        <w:ind w:firstLine="0"/>
        <w:rPr>
          <w:b/>
          <w:sz w:val="20"/>
          <w:lang w:val="en-US"/>
        </w:rPr>
      </w:pPr>
    </w:p>
    <w:p w14:paraId="24B2D210" w14:textId="77777777" w:rsidR="00870B94" w:rsidRPr="009F2DB6" w:rsidRDefault="009F2DB6" w:rsidP="00DF60C0">
      <w:pPr>
        <w:ind w:firstLine="0"/>
        <w:rPr>
          <w:i/>
          <w:sz w:val="20"/>
          <w:lang w:val="en-US"/>
        </w:rPr>
      </w:pPr>
      <w:r w:rsidRPr="009F2DB6">
        <w:rPr>
          <w:i/>
          <w:sz w:val="20"/>
          <w:lang w:val="en-US"/>
        </w:rPr>
        <w:t xml:space="preserve">5.5 </w:t>
      </w:r>
      <w:proofErr w:type="spellStart"/>
      <w:r w:rsidR="002531EA" w:rsidRPr="009F2DB6">
        <w:rPr>
          <w:i/>
          <w:sz w:val="20"/>
          <w:lang w:val="en-US"/>
        </w:rPr>
        <w:t>Revistas</w:t>
      </w:r>
      <w:proofErr w:type="spellEnd"/>
    </w:p>
    <w:p w14:paraId="7B318201" w14:textId="77777777" w:rsidR="003B6567" w:rsidRPr="007823DA" w:rsidRDefault="007823DA" w:rsidP="00C5787C">
      <w:pPr>
        <w:pStyle w:val="ADYNABibliografia"/>
        <w:spacing w:after="0"/>
        <w:ind w:firstLine="0"/>
        <w:rPr>
          <w:sz w:val="20"/>
        </w:rPr>
      </w:pPr>
      <w:r>
        <w:rPr>
          <w:sz w:val="20"/>
        </w:rPr>
        <w:t xml:space="preserve">Murcia R. M. A. </w:t>
      </w:r>
      <w:r w:rsidR="00DF60C0" w:rsidRPr="007823DA">
        <w:rPr>
          <w:sz w:val="20"/>
        </w:rPr>
        <w:t xml:space="preserve">Dynamic of the litterfall in a successional gradient of high </w:t>
      </w:r>
      <w:proofErr w:type="spellStart"/>
      <w:r w:rsidR="00DF60C0" w:rsidRPr="007823DA">
        <w:rPr>
          <w:sz w:val="20"/>
        </w:rPr>
        <w:t>andean</w:t>
      </w:r>
      <w:proofErr w:type="spellEnd"/>
      <w:r w:rsidR="00DF60C0" w:rsidRPr="007823DA">
        <w:rPr>
          <w:sz w:val="20"/>
        </w:rPr>
        <w:t xml:space="preserve"> forest of Colombia. </w:t>
      </w:r>
      <w:proofErr w:type="spellStart"/>
      <w:r w:rsidR="00DF60C0" w:rsidRPr="007823DA">
        <w:rPr>
          <w:sz w:val="20"/>
        </w:rPr>
        <w:t>Revista</w:t>
      </w:r>
      <w:proofErr w:type="spellEnd"/>
      <w:r w:rsidR="00DF60C0" w:rsidRPr="007823DA">
        <w:rPr>
          <w:sz w:val="20"/>
        </w:rPr>
        <w:t xml:space="preserve"> </w:t>
      </w:r>
      <w:proofErr w:type="spellStart"/>
      <w:r w:rsidR="00DF60C0" w:rsidRPr="007823DA">
        <w:rPr>
          <w:sz w:val="20"/>
        </w:rPr>
        <w:t>Bistua</w:t>
      </w:r>
      <w:proofErr w:type="spellEnd"/>
      <w:r w:rsidR="00DF60C0" w:rsidRPr="007823DA">
        <w:rPr>
          <w:sz w:val="20"/>
        </w:rPr>
        <w:t xml:space="preserve"> 17(3) (2019) 179-186</w:t>
      </w:r>
      <w:r w:rsidR="00090282">
        <w:rPr>
          <w:sz w:val="20"/>
        </w:rPr>
        <w:t>.</w:t>
      </w:r>
    </w:p>
    <w:p w14:paraId="35556A88" w14:textId="77777777" w:rsidR="00DF60C0" w:rsidRPr="007823DA" w:rsidRDefault="00DF60C0" w:rsidP="00C5787C">
      <w:pPr>
        <w:pStyle w:val="ADYNABibliografia"/>
        <w:spacing w:after="0"/>
        <w:ind w:firstLine="0"/>
        <w:rPr>
          <w:sz w:val="20"/>
        </w:rPr>
      </w:pPr>
      <w:r w:rsidRPr="007823DA">
        <w:rPr>
          <w:sz w:val="20"/>
        </w:rPr>
        <w:t>https://doi.org/10.24054/01204211.v3.n3.2019.3576</w:t>
      </w:r>
    </w:p>
    <w:p w14:paraId="28E4BB26" w14:textId="77777777" w:rsidR="00DF60C0" w:rsidRDefault="00DF60C0" w:rsidP="00DF60C0">
      <w:pPr>
        <w:ind w:firstLine="0"/>
        <w:rPr>
          <w:color w:val="000000"/>
          <w:szCs w:val="20"/>
          <w:lang w:val="en-US"/>
        </w:rPr>
      </w:pPr>
    </w:p>
    <w:p w14:paraId="69EC6F2D" w14:textId="77777777" w:rsidR="009F2DB6" w:rsidRPr="007823DA" w:rsidRDefault="009F2DB6" w:rsidP="00FD759E">
      <w:pPr>
        <w:pStyle w:val="Ttulo1"/>
        <w:numPr>
          <w:ilvl w:val="0"/>
          <w:numId w:val="0"/>
        </w:numPr>
        <w:ind w:left="432" w:hanging="432"/>
        <w:rPr>
          <w:rFonts w:cs="Times New Roman"/>
          <w:sz w:val="22"/>
        </w:rPr>
      </w:pPr>
    </w:p>
    <w:p w14:paraId="2E721167" w14:textId="77777777" w:rsidR="002531EA" w:rsidRPr="007823DA" w:rsidRDefault="002531EA" w:rsidP="00FD759E">
      <w:pPr>
        <w:pStyle w:val="Ttulo1"/>
        <w:numPr>
          <w:ilvl w:val="0"/>
          <w:numId w:val="0"/>
        </w:numPr>
        <w:ind w:left="432" w:hanging="432"/>
        <w:rPr>
          <w:rFonts w:cs="Times New Roman"/>
          <w:sz w:val="22"/>
        </w:rPr>
      </w:pPr>
      <w:proofErr w:type="spellStart"/>
      <w:r w:rsidRPr="007823DA">
        <w:rPr>
          <w:rFonts w:cs="Times New Roman"/>
          <w:sz w:val="22"/>
        </w:rPr>
        <w:t>Reconocimientos</w:t>
      </w:r>
      <w:proofErr w:type="spellEnd"/>
    </w:p>
    <w:p w14:paraId="69126027" w14:textId="77777777" w:rsidR="002531EA" w:rsidRDefault="002531EA" w:rsidP="002531EA">
      <w:pPr>
        <w:ind w:firstLine="0"/>
        <w:rPr>
          <w:lang w:val="es-CO"/>
        </w:rPr>
      </w:pPr>
      <w:r w:rsidRPr="003F275D">
        <w:rPr>
          <w:lang w:val="es-CO"/>
        </w:rPr>
        <w:t>Es opcio</w:t>
      </w:r>
      <w:r w:rsidRPr="002531EA">
        <w:rPr>
          <w:lang w:val="es-CO"/>
        </w:rPr>
        <w:t>nal. Aqu</w:t>
      </w:r>
      <w:r>
        <w:rPr>
          <w:lang w:val="es-CO"/>
        </w:rPr>
        <w:t>í los autores pueden referir un</w:t>
      </w:r>
      <w:r w:rsidRPr="002531EA">
        <w:rPr>
          <w:lang w:val="es-CO"/>
        </w:rPr>
        <w:t xml:space="preserve"> reconocimiento </w:t>
      </w:r>
      <w:r>
        <w:rPr>
          <w:lang w:val="es-CO"/>
        </w:rPr>
        <w:t>a entidades que facilitaron o financiaron la investigación.</w:t>
      </w:r>
    </w:p>
    <w:p w14:paraId="00FF99CE" w14:textId="77777777" w:rsidR="002531EA" w:rsidRDefault="002531EA" w:rsidP="002531EA">
      <w:pPr>
        <w:ind w:firstLine="0"/>
        <w:rPr>
          <w:lang w:val="es-CO"/>
        </w:rPr>
      </w:pPr>
    </w:p>
    <w:p w14:paraId="68BC1AF2" w14:textId="77777777" w:rsidR="00FE61D9" w:rsidRPr="002531EA" w:rsidRDefault="00FE61D9" w:rsidP="002531EA">
      <w:pPr>
        <w:ind w:firstLine="0"/>
        <w:rPr>
          <w:lang w:val="es-CO"/>
        </w:rPr>
      </w:pPr>
    </w:p>
    <w:p w14:paraId="1362AF14" w14:textId="77777777" w:rsidR="00CE0D1B" w:rsidRPr="00141AF8" w:rsidRDefault="00E17F5B" w:rsidP="00E17F5B">
      <w:pPr>
        <w:pStyle w:val="Ttulo1"/>
        <w:numPr>
          <w:ilvl w:val="0"/>
          <w:numId w:val="0"/>
        </w:numPr>
        <w:ind w:left="432" w:hanging="432"/>
        <w:rPr>
          <w:rFonts w:cs="Times New Roman"/>
          <w:sz w:val="22"/>
        </w:rPr>
      </w:pPr>
      <w:proofErr w:type="spellStart"/>
      <w:r w:rsidRPr="00141AF8">
        <w:rPr>
          <w:rFonts w:cs="Times New Roman"/>
          <w:sz w:val="22"/>
        </w:rPr>
        <w:t>Referencias</w:t>
      </w:r>
      <w:proofErr w:type="spellEnd"/>
    </w:p>
    <w:p w14:paraId="4BE34631" w14:textId="77777777" w:rsidR="00E3398E" w:rsidRDefault="00E3398E" w:rsidP="00E3398E">
      <w:pPr>
        <w:pStyle w:val="ADYNACVAutores"/>
        <w:ind w:firstLine="0"/>
      </w:pPr>
    </w:p>
    <w:p w14:paraId="69089AEB" w14:textId="77777777" w:rsidR="00E3398E" w:rsidRPr="00E3398E" w:rsidRDefault="00E3398E" w:rsidP="00E3398E">
      <w:pPr>
        <w:pStyle w:val="ADYNACVAutores"/>
        <w:numPr>
          <w:ilvl w:val="0"/>
          <w:numId w:val="13"/>
        </w:numPr>
        <w:rPr>
          <w:szCs w:val="24"/>
        </w:rPr>
      </w:pPr>
      <w:r w:rsidRPr="00E3398E">
        <w:rPr>
          <w:szCs w:val="24"/>
        </w:rPr>
        <w:t>Maxwell J.C., A dynamical theory of the electromagnetic field, Philosophical Transactions of the Royal Society London 155 (1865) 459-512</w:t>
      </w:r>
    </w:p>
    <w:p w14:paraId="0A2C1067" w14:textId="77777777" w:rsidR="00E3398E" w:rsidRDefault="00E3398E" w:rsidP="00E3398E">
      <w:pPr>
        <w:pStyle w:val="ADYNACVAutores"/>
        <w:ind w:left="360" w:firstLine="0"/>
        <w:rPr>
          <w:szCs w:val="24"/>
        </w:rPr>
      </w:pPr>
    </w:p>
    <w:p w14:paraId="577DE987" w14:textId="77777777" w:rsidR="001266FF" w:rsidRPr="00FD15F1" w:rsidRDefault="00E3398E" w:rsidP="00EA194E">
      <w:pPr>
        <w:pStyle w:val="ADYNACVAutores"/>
        <w:numPr>
          <w:ilvl w:val="0"/>
          <w:numId w:val="13"/>
        </w:numPr>
        <w:rPr>
          <w:szCs w:val="24"/>
          <w:lang w:val="es-CO"/>
        </w:rPr>
      </w:pPr>
      <w:r w:rsidRPr="00EA194E">
        <w:rPr>
          <w:szCs w:val="24"/>
          <w:lang w:val="es-CO"/>
        </w:rPr>
        <w:t>Restrepo G.</w:t>
      </w:r>
      <w:r w:rsidR="00BC674C" w:rsidRPr="00EA194E">
        <w:rPr>
          <w:szCs w:val="24"/>
          <w:lang w:val="es-CO"/>
        </w:rPr>
        <w:t>,</w:t>
      </w:r>
      <w:r w:rsidR="001266FF" w:rsidRPr="00EA194E">
        <w:rPr>
          <w:szCs w:val="24"/>
          <w:lang w:val="es-CO"/>
        </w:rPr>
        <w:t xml:space="preserve"> </w:t>
      </w:r>
      <w:r w:rsidR="00EA194E">
        <w:rPr>
          <w:szCs w:val="24"/>
          <w:lang w:val="es-CO"/>
        </w:rPr>
        <w:t>L</w:t>
      </w:r>
      <w:r w:rsidR="00EA194E" w:rsidRPr="00EA194E">
        <w:rPr>
          <w:szCs w:val="24"/>
          <w:lang w:val="es-CO"/>
        </w:rPr>
        <w:t>os elementos químicos, su matemática y relación con el sistema periódico</w:t>
      </w:r>
      <w:r w:rsidR="001266FF" w:rsidRPr="00EA194E">
        <w:rPr>
          <w:szCs w:val="24"/>
          <w:lang w:val="es-CO"/>
        </w:rPr>
        <w:t>.</w:t>
      </w:r>
      <w:r w:rsidR="007A28CC">
        <w:rPr>
          <w:szCs w:val="24"/>
          <w:lang w:val="es-CO"/>
        </w:rPr>
        <w:t xml:space="preserve"> </w:t>
      </w:r>
      <w:r w:rsidR="00DF60C0" w:rsidRPr="00FD15F1">
        <w:rPr>
          <w:szCs w:val="24"/>
          <w:lang w:val="es-CO"/>
        </w:rPr>
        <w:t>B</w:t>
      </w:r>
      <w:r w:rsidR="00E87804">
        <w:rPr>
          <w:szCs w:val="24"/>
          <w:lang w:val="es-CO"/>
        </w:rPr>
        <w:t xml:space="preserve">ISTUA Rev. FCB </w:t>
      </w:r>
      <w:r w:rsidR="00EA194E" w:rsidRPr="00FD15F1">
        <w:rPr>
          <w:szCs w:val="24"/>
          <w:lang w:val="es-CO"/>
        </w:rPr>
        <w:t>2</w:t>
      </w:r>
      <w:r w:rsidR="001266FF" w:rsidRPr="00FD15F1">
        <w:rPr>
          <w:szCs w:val="24"/>
          <w:lang w:val="es-CO"/>
        </w:rPr>
        <w:t>(</w:t>
      </w:r>
      <w:r w:rsidR="00EA194E" w:rsidRPr="00FD15F1">
        <w:rPr>
          <w:szCs w:val="24"/>
          <w:lang w:val="es-CO"/>
        </w:rPr>
        <w:t>1</w:t>
      </w:r>
      <w:r w:rsidR="001266FF" w:rsidRPr="00FD15F1">
        <w:rPr>
          <w:szCs w:val="24"/>
          <w:lang w:val="es-CO"/>
        </w:rPr>
        <w:t>)</w:t>
      </w:r>
      <w:r w:rsidR="00DF60C0" w:rsidRPr="00FD15F1">
        <w:rPr>
          <w:szCs w:val="24"/>
          <w:lang w:val="es-CO"/>
        </w:rPr>
        <w:t xml:space="preserve"> (20</w:t>
      </w:r>
      <w:r w:rsidR="00EA194E" w:rsidRPr="00FD15F1">
        <w:rPr>
          <w:szCs w:val="24"/>
          <w:lang w:val="es-CO"/>
        </w:rPr>
        <w:t>04</w:t>
      </w:r>
      <w:r w:rsidR="00DF60C0" w:rsidRPr="00FD15F1">
        <w:rPr>
          <w:szCs w:val="24"/>
          <w:lang w:val="es-CO"/>
        </w:rPr>
        <w:t xml:space="preserve">) </w:t>
      </w:r>
      <w:r w:rsidR="00EA194E" w:rsidRPr="00FD15F1">
        <w:rPr>
          <w:szCs w:val="24"/>
          <w:lang w:val="es-CO"/>
        </w:rPr>
        <w:t>91</w:t>
      </w:r>
      <w:r w:rsidR="001266FF" w:rsidRPr="00FD15F1">
        <w:rPr>
          <w:szCs w:val="24"/>
          <w:lang w:val="es-CO"/>
        </w:rPr>
        <w:t>-</w:t>
      </w:r>
      <w:r w:rsidR="00EA194E" w:rsidRPr="00FD15F1">
        <w:rPr>
          <w:szCs w:val="24"/>
          <w:lang w:val="es-CO"/>
        </w:rPr>
        <w:t>98.</w:t>
      </w:r>
      <w:r w:rsidRPr="00FD15F1">
        <w:rPr>
          <w:szCs w:val="24"/>
          <w:lang w:val="es-CO"/>
        </w:rPr>
        <w:t xml:space="preserve"> https://doi.org/10.24054/01204211.v1.n1.2004.17</w:t>
      </w:r>
    </w:p>
    <w:p w14:paraId="1474BD08" w14:textId="77777777" w:rsidR="00DF60C0" w:rsidRPr="00FD15F1" w:rsidRDefault="00DF60C0" w:rsidP="00B50DB9">
      <w:pPr>
        <w:pStyle w:val="ADYNACVAutores"/>
        <w:ind w:firstLine="0"/>
        <w:rPr>
          <w:szCs w:val="24"/>
          <w:lang w:val="es-CO"/>
        </w:rPr>
      </w:pPr>
    </w:p>
    <w:p w14:paraId="5D849F57" w14:textId="77777777" w:rsidR="00E66F1D" w:rsidRDefault="00623705" w:rsidP="00E66F1D">
      <w:pPr>
        <w:pStyle w:val="ADYNACVAutores"/>
        <w:numPr>
          <w:ilvl w:val="0"/>
          <w:numId w:val="13"/>
        </w:numPr>
        <w:rPr>
          <w:szCs w:val="24"/>
        </w:rPr>
      </w:pPr>
      <w:r>
        <w:rPr>
          <w:szCs w:val="24"/>
        </w:rPr>
        <w:t xml:space="preserve">Salazar A., </w:t>
      </w:r>
      <w:r w:rsidR="00144B0A">
        <w:rPr>
          <w:szCs w:val="24"/>
        </w:rPr>
        <w:t>Rueda J.</w:t>
      </w:r>
      <w:r w:rsidR="00BC674C" w:rsidRPr="003F275D">
        <w:rPr>
          <w:szCs w:val="24"/>
        </w:rPr>
        <w:t xml:space="preserve">E., </w:t>
      </w:r>
      <w:r w:rsidR="003F275D" w:rsidRPr="003F275D">
        <w:rPr>
          <w:szCs w:val="24"/>
        </w:rPr>
        <w:t>Study of energy coupling</w:t>
      </w:r>
      <w:r w:rsidR="00617A41">
        <w:rPr>
          <w:szCs w:val="24"/>
        </w:rPr>
        <w:t xml:space="preserve"> in a </w:t>
      </w:r>
      <w:r w:rsidR="00617A41" w:rsidRPr="003F275D">
        <w:rPr>
          <w:szCs w:val="24"/>
        </w:rPr>
        <w:t>Bi</w:t>
      </w:r>
      <w:r w:rsidR="00617A41" w:rsidRPr="00617A41">
        <w:rPr>
          <w:szCs w:val="24"/>
          <w:vertAlign w:val="subscript"/>
        </w:rPr>
        <w:t>12</w:t>
      </w:r>
      <w:r w:rsidR="00617A41" w:rsidRPr="003F275D">
        <w:rPr>
          <w:szCs w:val="24"/>
        </w:rPr>
        <w:t>SiO</w:t>
      </w:r>
      <w:r w:rsidR="00617A41" w:rsidRPr="00617A41">
        <w:rPr>
          <w:szCs w:val="24"/>
          <w:vertAlign w:val="subscript"/>
        </w:rPr>
        <w:t>20</w:t>
      </w:r>
      <w:r w:rsidR="00617A41">
        <w:rPr>
          <w:szCs w:val="24"/>
          <w:vertAlign w:val="subscript"/>
        </w:rPr>
        <w:t xml:space="preserve"> </w:t>
      </w:r>
      <w:proofErr w:type="spellStart"/>
      <w:r w:rsidR="009F49C2">
        <w:rPr>
          <w:szCs w:val="24"/>
        </w:rPr>
        <w:t>photorefactive</w:t>
      </w:r>
      <w:proofErr w:type="spellEnd"/>
      <w:r w:rsidR="009F49C2">
        <w:rPr>
          <w:szCs w:val="24"/>
        </w:rPr>
        <w:t xml:space="preserve"> </w:t>
      </w:r>
      <w:r w:rsidR="00617A41">
        <w:rPr>
          <w:szCs w:val="24"/>
        </w:rPr>
        <w:t>material</w:t>
      </w:r>
      <w:r w:rsidR="00535E22" w:rsidRPr="003F275D">
        <w:rPr>
          <w:szCs w:val="24"/>
        </w:rPr>
        <w:t xml:space="preserve">, </w:t>
      </w:r>
      <w:r w:rsidR="00E87804" w:rsidRPr="00E87804">
        <w:rPr>
          <w:szCs w:val="24"/>
        </w:rPr>
        <w:t>BISTUA Rev.</w:t>
      </w:r>
      <w:r w:rsidR="00E87804">
        <w:rPr>
          <w:szCs w:val="24"/>
        </w:rPr>
        <w:t xml:space="preserve"> </w:t>
      </w:r>
      <w:r w:rsidR="00E87804" w:rsidRPr="00E87804">
        <w:rPr>
          <w:szCs w:val="24"/>
        </w:rPr>
        <w:t>FCB</w:t>
      </w:r>
      <w:r w:rsidR="003F275D" w:rsidRPr="003F275D">
        <w:rPr>
          <w:szCs w:val="24"/>
        </w:rPr>
        <w:t xml:space="preserve"> </w:t>
      </w:r>
      <w:r w:rsidR="00A46D0A">
        <w:rPr>
          <w:szCs w:val="24"/>
        </w:rPr>
        <w:t>2</w:t>
      </w:r>
      <w:r w:rsidR="003F275D" w:rsidRPr="003F275D">
        <w:rPr>
          <w:szCs w:val="24"/>
        </w:rPr>
        <w:t>(</w:t>
      </w:r>
      <w:r w:rsidR="00A46D0A">
        <w:rPr>
          <w:szCs w:val="24"/>
        </w:rPr>
        <w:t>1</w:t>
      </w:r>
      <w:r w:rsidR="003F275D" w:rsidRPr="003F275D">
        <w:rPr>
          <w:szCs w:val="24"/>
        </w:rPr>
        <w:t>) (20</w:t>
      </w:r>
      <w:r w:rsidR="00A46D0A">
        <w:rPr>
          <w:szCs w:val="24"/>
        </w:rPr>
        <w:t>04</w:t>
      </w:r>
      <w:r w:rsidR="003F275D" w:rsidRPr="003F275D">
        <w:rPr>
          <w:szCs w:val="24"/>
        </w:rPr>
        <w:t xml:space="preserve">) </w:t>
      </w:r>
      <w:r w:rsidR="00A46D0A">
        <w:rPr>
          <w:szCs w:val="24"/>
        </w:rPr>
        <w:t>47</w:t>
      </w:r>
      <w:r w:rsidR="003F275D" w:rsidRPr="003F275D">
        <w:rPr>
          <w:szCs w:val="24"/>
        </w:rPr>
        <w:t>-</w:t>
      </w:r>
      <w:r w:rsidR="00A46D0A">
        <w:rPr>
          <w:szCs w:val="24"/>
        </w:rPr>
        <w:t>53.</w:t>
      </w:r>
      <w:r w:rsidR="001266FF" w:rsidRPr="00E66F1D">
        <w:rPr>
          <w:szCs w:val="24"/>
        </w:rPr>
        <w:t xml:space="preserve"> </w:t>
      </w:r>
      <w:r w:rsidR="00E66F1D" w:rsidRPr="006837B8">
        <w:rPr>
          <w:szCs w:val="24"/>
        </w:rPr>
        <w:t>https://doi.org/10.24054/01204211.v1.n1.2004.11</w:t>
      </w:r>
    </w:p>
    <w:p w14:paraId="43E1B8BA" w14:textId="77777777" w:rsidR="00E66F1D" w:rsidRPr="00E3398E" w:rsidRDefault="00E66F1D" w:rsidP="00E66F1D">
      <w:pPr>
        <w:pStyle w:val="Prrafodelista"/>
        <w:rPr>
          <w:lang w:val="en-US"/>
        </w:rPr>
      </w:pPr>
    </w:p>
    <w:p w14:paraId="45789588" w14:textId="77777777" w:rsidR="001266FF" w:rsidRPr="00F532D6" w:rsidRDefault="00E66F1D" w:rsidP="00F532D6">
      <w:pPr>
        <w:pStyle w:val="ADYNACVAutores"/>
        <w:numPr>
          <w:ilvl w:val="0"/>
          <w:numId w:val="13"/>
        </w:numPr>
        <w:rPr>
          <w:szCs w:val="24"/>
        </w:rPr>
      </w:pPr>
      <w:r w:rsidRPr="00E66F1D">
        <w:rPr>
          <w:szCs w:val="24"/>
        </w:rPr>
        <w:t>Tebaldi M.C., Rueda J.E</w:t>
      </w:r>
      <w:r>
        <w:rPr>
          <w:szCs w:val="24"/>
        </w:rPr>
        <w:t xml:space="preserve">, </w:t>
      </w:r>
      <w:proofErr w:type="spellStart"/>
      <w:r w:rsidRPr="00E66F1D">
        <w:rPr>
          <w:szCs w:val="24"/>
        </w:rPr>
        <w:t>Bolognini</w:t>
      </w:r>
      <w:proofErr w:type="spellEnd"/>
      <w:r w:rsidRPr="00E66F1D">
        <w:rPr>
          <w:szCs w:val="24"/>
        </w:rPr>
        <w:t xml:space="preserve"> N., Talbot interferometer based on a birefringence grating, Optics Communications</w:t>
      </w:r>
      <w:r>
        <w:rPr>
          <w:szCs w:val="24"/>
        </w:rPr>
        <w:t xml:space="preserve"> </w:t>
      </w:r>
      <w:r w:rsidRPr="00E66F1D">
        <w:rPr>
          <w:szCs w:val="24"/>
        </w:rPr>
        <w:t xml:space="preserve">185(1) (2000) 65-76, </w:t>
      </w:r>
      <w:proofErr w:type="spellStart"/>
      <w:r w:rsidRPr="00E66F1D">
        <w:rPr>
          <w:szCs w:val="24"/>
        </w:rPr>
        <w:t>doi</w:t>
      </w:r>
      <w:proofErr w:type="spellEnd"/>
      <w:r w:rsidRPr="00E66F1D">
        <w:rPr>
          <w:szCs w:val="24"/>
        </w:rPr>
        <w:t>: 10.1016/S0030-4018(00)00988-3</w:t>
      </w:r>
    </w:p>
    <w:p w14:paraId="3E0D53B4" w14:textId="77777777" w:rsidR="001266FF" w:rsidRDefault="001266FF" w:rsidP="001266FF">
      <w:pPr>
        <w:pStyle w:val="ADYNACVAutores"/>
      </w:pPr>
    </w:p>
    <w:p w14:paraId="2050FD4E" w14:textId="77777777" w:rsidR="001266FF" w:rsidRDefault="001266FF" w:rsidP="001266FF">
      <w:pPr>
        <w:pStyle w:val="ADYNACVAutores"/>
      </w:pPr>
    </w:p>
    <w:p w14:paraId="5E1255CD" w14:textId="77777777" w:rsidR="001266FF" w:rsidRDefault="001266FF" w:rsidP="001266FF">
      <w:pPr>
        <w:pStyle w:val="ADYNACVAutores"/>
      </w:pPr>
    </w:p>
    <w:p w14:paraId="007289B8" w14:textId="77777777" w:rsidR="001266FF" w:rsidRDefault="001266FF" w:rsidP="001266FF">
      <w:pPr>
        <w:pStyle w:val="ADYNACVAutores"/>
      </w:pPr>
    </w:p>
    <w:p w14:paraId="451A0F11" w14:textId="77777777" w:rsidR="001266FF" w:rsidRDefault="001266FF" w:rsidP="001266FF">
      <w:pPr>
        <w:pStyle w:val="ADYNACVAutores"/>
      </w:pPr>
    </w:p>
    <w:p w14:paraId="13C0D400" w14:textId="77777777" w:rsidR="001266FF" w:rsidRDefault="001266FF" w:rsidP="001266FF">
      <w:pPr>
        <w:pStyle w:val="ADYNACVAutores"/>
      </w:pPr>
    </w:p>
    <w:p w14:paraId="6791B440" w14:textId="77777777" w:rsidR="001266FF" w:rsidRDefault="001266FF" w:rsidP="001266FF">
      <w:pPr>
        <w:pStyle w:val="ADYNACVAutores"/>
      </w:pPr>
    </w:p>
    <w:p w14:paraId="5BBCFA8D" w14:textId="77777777" w:rsidR="001266FF" w:rsidRDefault="001266FF" w:rsidP="001266FF">
      <w:pPr>
        <w:pStyle w:val="ADYNACVAutores"/>
      </w:pPr>
    </w:p>
    <w:p w14:paraId="7BE4E45C" w14:textId="77777777" w:rsidR="001266FF" w:rsidRDefault="001266FF" w:rsidP="001266FF">
      <w:pPr>
        <w:pStyle w:val="ADYNACVAutores"/>
      </w:pPr>
    </w:p>
    <w:p w14:paraId="1719A844" w14:textId="77777777" w:rsidR="0062155B" w:rsidRPr="00690985" w:rsidRDefault="0062155B" w:rsidP="007C5FBB">
      <w:pPr>
        <w:pStyle w:val="ADYNACVAutores"/>
        <w:rPr>
          <w:b/>
        </w:rPr>
      </w:pPr>
    </w:p>
    <w:sectPr w:rsidR="0062155B" w:rsidRPr="00690985" w:rsidSect="00181A6E">
      <w:type w:val="continuous"/>
      <w:pgSz w:w="12242" w:h="15842" w:code="1"/>
      <w:pgMar w:top="1247" w:right="958" w:bottom="1247" w:left="958" w:header="731" w:footer="709" w:gutter="397"/>
      <w:cols w:num="2"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77C5" w14:textId="77777777" w:rsidR="0039253C" w:rsidRDefault="0039253C" w:rsidP="0099410F">
      <w:r>
        <w:separator/>
      </w:r>
    </w:p>
  </w:endnote>
  <w:endnote w:type="continuationSeparator" w:id="0">
    <w:p w14:paraId="6D144F0C" w14:textId="77777777" w:rsidR="0039253C" w:rsidRDefault="0039253C" w:rsidP="009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Użyj czcionki tekstu azjatyck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5629" w14:textId="77777777" w:rsidR="00870B94" w:rsidRDefault="00870B94" w:rsidP="0037274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35F81" w14:textId="77777777" w:rsidR="00870B94" w:rsidRDefault="00870B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D59F" w14:textId="77777777" w:rsidR="00870B94" w:rsidRPr="00BB7DA2" w:rsidRDefault="00870B94" w:rsidP="00832F4D">
    <w:pPr>
      <w:pStyle w:val="Piedepgina"/>
      <w:framePr w:wrap="around" w:vAnchor="text" w:hAnchor="margin" w:xAlign="center" w:y="1"/>
      <w:spacing w:before="200"/>
      <w:rPr>
        <w:rStyle w:val="Nmerodepgina"/>
        <w:sz w:val="16"/>
        <w:szCs w:val="16"/>
      </w:rPr>
    </w:pPr>
    <w:r w:rsidRPr="00BB7DA2">
      <w:rPr>
        <w:rStyle w:val="Nmerodepgina"/>
        <w:sz w:val="16"/>
        <w:szCs w:val="16"/>
      </w:rPr>
      <w:fldChar w:fldCharType="begin"/>
    </w:r>
    <w:r w:rsidRPr="00832F4D">
      <w:rPr>
        <w:rStyle w:val="Nmerodepgina"/>
        <w:sz w:val="16"/>
        <w:szCs w:val="16"/>
      </w:rPr>
      <w:instrText xml:space="preserve">PAGE  </w:instrText>
    </w:r>
    <w:r w:rsidRPr="00BB7DA2">
      <w:rPr>
        <w:rStyle w:val="Nmerodepgina"/>
        <w:sz w:val="16"/>
        <w:szCs w:val="16"/>
      </w:rPr>
      <w:fldChar w:fldCharType="separate"/>
    </w:r>
    <w:r w:rsidR="00967C0C">
      <w:rPr>
        <w:rStyle w:val="Nmerodepgina"/>
        <w:noProof/>
        <w:sz w:val="16"/>
        <w:szCs w:val="16"/>
      </w:rPr>
      <w:t>2</w:t>
    </w:r>
    <w:r w:rsidRPr="00BB7DA2">
      <w:rPr>
        <w:rStyle w:val="Nmerodepgina"/>
        <w:sz w:val="16"/>
        <w:szCs w:val="16"/>
      </w:rPr>
      <w:fldChar w:fldCharType="end"/>
    </w:r>
  </w:p>
  <w:p w14:paraId="3A9C133F" w14:textId="77777777" w:rsidR="00870B94" w:rsidRPr="00372740" w:rsidRDefault="00870B94" w:rsidP="00832F4D">
    <w:pPr>
      <w:pStyle w:val="Piedepgina"/>
      <w:tabs>
        <w:tab w:val="clear" w:pos="4252"/>
        <w:tab w:val="clear" w:pos="8504"/>
        <w:tab w:val="center" w:pos="5103"/>
      </w:tabs>
      <w:spacing w:before="200"/>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2674B" w14:textId="7CE4A2F1" w:rsidR="003A7469" w:rsidRPr="000E405A" w:rsidRDefault="000E405A" w:rsidP="000E405A">
    <w:pPr>
      <w:pStyle w:val="Encabezado"/>
      <w:jc w:val="center"/>
    </w:pPr>
    <w:r w:rsidRPr="000E405A">
      <w:t>Universidad de Pamplona</w:t>
    </w:r>
  </w:p>
  <w:p w14:paraId="46A5088B" w14:textId="5B9E0DAD" w:rsidR="000E405A" w:rsidRPr="000E405A" w:rsidRDefault="000E405A" w:rsidP="000E405A">
    <w:pPr>
      <w:pStyle w:val="Encabezado"/>
      <w:jc w:val="center"/>
    </w:pPr>
    <w:r w:rsidRPr="000E405A">
      <w:t>Programa</w:t>
    </w:r>
    <w:r>
      <w:t xml:space="preserve"> de Geología</w:t>
    </w:r>
  </w:p>
  <w:p w14:paraId="5387FF3F" w14:textId="77777777" w:rsidR="000E405A" w:rsidRPr="000E405A" w:rsidRDefault="000E405A" w:rsidP="000E405A">
    <w:pPr>
      <w:pStyle w:val="Encabezado"/>
      <w:jc w:val="center"/>
    </w:pPr>
    <w:r>
      <w:t>Año</w:t>
    </w:r>
  </w:p>
  <w:p w14:paraId="48AD6BB5" w14:textId="77777777" w:rsidR="000E405A" w:rsidRPr="00CB7581" w:rsidRDefault="000E405A" w:rsidP="000C0298">
    <w:pPr>
      <w:pStyle w:val="TituloArticulo"/>
      <w:jc w:val="left"/>
      <w:rPr>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AC4D" w14:textId="77777777" w:rsidR="0039253C" w:rsidRDefault="0039253C" w:rsidP="0099410F">
      <w:r>
        <w:separator/>
      </w:r>
    </w:p>
  </w:footnote>
  <w:footnote w:type="continuationSeparator" w:id="0">
    <w:p w14:paraId="063580B3" w14:textId="77777777" w:rsidR="0039253C" w:rsidRDefault="0039253C" w:rsidP="0099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8121" w14:textId="77777777" w:rsidR="00DF4063" w:rsidRDefault="00FC3751" w:rsidP="00DF4063">
    <w:pPr>
      <w:pStyle w:val="Encabezado"/>
      <w:tabs>
        <w:tab w:val="clear" w:pos="4252"/>
        <w:tab w:val="clear" w:pos="8504"/>
        <w:tab w:val="center" w:pos="5103"/>
      </w:tabs>
      <w:spacing w:after="80"/>
      <w:jc w:val="right"/>
      <w:rPr>
        <w:i/>
        <w:sz w:val="16"/>
        <w:szCs w:val="16"/>
      </w:rPr>
    </w:pPr>
    <w:r w:rsidRPr="00CB7581">
      <w:rPr>
        <w:i/>
        <w:sz w:val="16"/>
        <w:szCs w:val="16"/>
      </w:rPr>
      <w:t>BISTUA Rev</w:t>
    </w:r>
    <w:r w:rsidR="00CF0334">
      <w:rPr>
        <w:i/>
        <w:sz w:val="16"/>
        <w:szCs w:val="16"/>
      </w:rPr>
      <w:t>. F</w:t>
    </w:r>
    <w:r w:rsidRPr="00CB7581">
      <w:rPr>
        <w:i/>
        <w:sz w:val="16"/>
        <w:szCs w:val="16"/>
      </w:rPr>
      <w:t>C</w:t>
    </w:r>
    <w:r w:rsidR="00CB7581">
      <w:rPr>
        <w:i/>
        <w:sz w:val="16"/>
        <w:szCs w:val="16"/>
      </w:rPr>
      <w:t>B, Vol</w:t>
    </w:r>
    <w:r w:rsidR="00831EEB">
      <w:rPr>
        <w:i/>
        <w:sz w:val="16"/>
        <w:szCs w:val="16"/>
      </w:rPr>
      <w:t>.</w:t>
    </w:r>
    <w:r w:rsidR="00CB7581">
      <w:rPr>
        <w:i/>
        <w:sz w:val="16"/>
        <w:szCs w:val="16"/>
      </w:rPr>
      <w:t xml:space="preserve"> 18 (1), (2020)</w:t>
    </w:r>
  </w:p>
  <w:p w14:paraId="582B7C65" w14:textId="77777777" w:rsidR="00870B94" w:rsidRPr="00CB7581" w:rsidRDefault="0039253C" w:rsidP="00FC3751">
    <w:pPr>
      <w:pStyle w:val="Encabezado"/>
      <w:tabs>
        <w:tab w:val="clear" w:pos="4252"/>
        <w:tab w:val="clear" w:pos="8504"/>
        <w:tab w:val="center" w:pos="5103"/>
      </w:tabs>
      <w:spacing w:after="280"/>
      <w:jc w:val="right"/>
      <w:rPr>
        <w:i/>
        <w:sz w:val="16"/>
        <w:szCs w:val="16"/>
      </w:rPr>
    </w:pPr>
    <w:r>
      <w:rPr>
        <w:i/>
        <w:sz w:val="16"/>
        <w:szCs w:val="16"/>
      </w:rPr>
      <w:pict w14:anchorId="72E08818">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A981" w14:textId="7DE305F8" w:rsidR="00870B94" w:rsidRDefault="000E405A" w:rsidP="000E405A">
    <w:pPr>
      <w:pStyle w:val="Encabezado"/>
      <w:jc w:val="center"/>
    </w:pPr>
    <w:r>
      <w:t>Titulo del Trabajo de Grado</w:t>
    </w:r>
  </w:p>
  <w:p w14:paraId="0C48D7FA" w14:textId="4840C39E" w:rsidR="000E405A" w:rsidRDefault="000E405A" w:rsidP="000E405A">
    <w:pPr>
      <w:pStyle w:val="Encabezado"/>
      <w:jc w:val="center"/>
    </w:pPr>
    <w:r>
      <w:t>Modalidad</w:t>
    </w:r>
  </w:p>
  <w:p w14:paraId="696C1065" w14:textId="77777777" w:rsidR="000E405A" w:rsidRDefault="000E405A" w:rsidP="000E405A">
    <w:pPr>
      <w:pStyle w:val="Encabezado"/>
      <w:jc w:val="center"/>
    </w:pPr>
    <w:r>
      <w:t>Autor</w:t>
    </w:r>
  </w:p>
  <w:p w14:paraId="779D5252" w14:textId="77777777" w:rsidR="000E405A" w:rsidRDefault="000E405A" w:rsidP="000E405A">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F798A"/>
    <w:multiLevelType w:val="hybridMultilevel"/>
    <w:tmpl w:val="F0C0B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953E5F"/>
    <w:multiLevelType w:val="hybridMultilevel"/>
    <w:tmpl w:val="668A4472"/>
    <w:lvl w:ilvl="0" w:tplc="509C063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4742A4D"/>
    <w:multiLevelType w:val="hybridMultilevel"/>
    <w:tmpl w:val="FE2CA0A6"/>
    <w:lvl w:ilvl="0" w:tplc="97067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BF1B84"/>
    <w:multiLevelType w:val="hybridMultilevel"/>
    <w:tmpl w:val="8604A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4C6377"/>
    <w:multiLevelType w:val="hybridMultilevel"/>
    <w:tmpl w:val="3A7AA2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097977"/>
    <w:multiLevelType w:val="hybridMultilevel"/>
    <w:tmpl w:val="5D3EA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F327C"/>
    <w:multiLevelType w:val="hybridMultilevel"/>
    <w:tmpl w:val="F7146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417C3D"/>
    <w:multiLevelType w:val="hybridMultilevel"/>
    <w:tmpl w:val="F2E84780"/>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0D6433D"/>
    <w:multiLevelType w:val="hybridMultilevel"/>
    <w:tmpl w:val="663ED2DA"/>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9" w15:restartNumberingAfterBreak="0">
    <w:nsid w:val="6AF80985"/>
    <w:multiLevelType w:val="hybridMultilevel"/>
    <w:tmpl w:val="C48829EC"/>
    <w:lvl w:ilvl="0" w:tplc="A6CC68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471999"/>
    <w:multiLevelType w:val="hybridMultilevel"/>
    <w:tmpl w:val="50DC7FE4"/>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08F61CE"/>
    <w:multiLevelType w:val="hybridMultilevel"/>
    <w:tmpl w:val="D090B226"/>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2" w15:restartNumberingAfterBreak="0">
    <w:nsid w:val="727D7180"/>
    <w:multiLevelType w:val="multilevel"/>
    <w:tmpl w:val="51A8F30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11"/>
  </w:num>
  <w:num w:numId="3">
    <w:abstractNumId w:val="6"/>
  </w:num>
  <w:num w:numId="4">
    <w:abstractNumId w:val="8"/>
  </w:num>
  <w:num w:numId="5">
    <w:abstractNumId w:val="5"/>
  </w:num>
  <w:num w:numId="6">
    <w:abstractNumId w:val="0"/>
  </w:num>
  <w:num w:numId="7">
    <w:abstractNumId w:val="4"/>
  </w:num>
  <w:num w:numId="8">
    <w:abstractNumId w:val="12"/>
  </w:num>
  <w:num w:numId="9">
    <w:abstractNumId w:val="1"/>
  </w:num>
  <w:num w:numId="10">
    <w:abstractNumId w:val="2"/>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B2"/>
    <w:rsid w:val="00034271"/>
    <w:rsid w:val="00046B5E"/>
    <w:rsid w:val="000501A2"/>
    <w:rsid w:val="00051BA8"/>
    <w:rsid w:val="000532CF"/>
    <w:rsid w:val="000773BE"/>
    <w:rsid w:val="0008386D"/>
    <w:rsid w:val="00090282"/>
    <w:rsid w:val="0009248C"/>
    <w:rsid w:val="000929E6"/>
    <w:rsid w:val="000A33DC"/>
    <w:rsid w:val="000A651C"/>
    <w:rsid w:val="000B4D09"/>
    <w:rsid w:val="000C0298"/>
    <w:rsid w:val="000D189E"/>
    <w:rsid w:val="000E405A"/>
    <w:rsid w:val="000E43FD"/>
    <w:rsid w:val="000F3EB5"/>
    <w:rsid w:val="000F40F9"/>
    <w:rsid w:val="00102F46"/>
    <w:rsid w:val="001032E0"/>
    <w:rsid w:val="00111728"/>
    <w:rsid w:val="001232D8"/>
    <w:rsid w:val="001266FF"/>
    <w:rsid w:val="001367BE"/>
    <w:rsid w:val="0013686A"/>
    <w:rsid w:val="00141AF8"/>
    <w:rsid w:val="00144B0A"/>
    <w:rsid w:val="001607F4"/>
    <w:rsid w:val="001630F9"/>
    <w:rsid w:val="00167DAF"/>
    <w:rsid w:val="001751E2"/>
    <w:rsid w:val="00181A6E"/>
    <w:rsid w:val="001840D2"/>
    <w:rsid w:val="00190139"/>
    <w:rsid w:val="00190D9E"/>
    <w:rsid w:val="001A4669"/>
    <w:rsid w:val="001B317C"/>
    <w:rsid w:val="001B6E76"/>
    <w:rsid w:val="001C21F1"/>
    <w:rsid w:val="001C633D"/>
    <w:rsid w:val="00210A0C"/>
    <w:rsid w:val="00211C35"/>
    <w:rsid w:val="002254E4"/>
    <w:rsid w:val="00231EC9"/>
    <w:rsid w:val="0023444D"/>
    <w:rsid w:val="00234EB7"/>
    <w:rsid w:val="00234EE5"/>
    <w:rsid w:val="00241E6D"/>
    <w:rsid w:val="00245E87"/>
    <w:rsid w:val="002531EA"/>
    <w:rsid w:val="002611B1"/>
    <w:rsid w:val="00273E7D"/>
    <w:rsid w:val="00276969"/>
    <w:rsid w:val="00287618"/>
    <w:rsid w:val="002A5239"/>
    <w:rsid w:val="002A6F72"/>
    <w:rsid w:val="002B12C5"/>
    <w:rsid w:val="002D29CB"/>
    <w:rsid w:val="002D514B"/>
    <w:rsid w:val="002E5B70"/>
    <w:rsid w:val="002F0DA5"/>
    <w:rsid w:val="003073CD"/>
    <w:rsid w:val="003112BA"/>
    <w:rsid w:val="003311E4"/>
    <w:rsid w:val="00350CEE"/>
    <w:rsid w:val="003510F4"/>
    <w:rsid w:val="00351516"/>
    <w:rsid w:val="003649BF"/>
    <w:rsid w:val="00372740"/>
    <w:rsid w:val="00381EA9"/>
    <w:rsid w:val="00384863"/>
    <w:rsid w:val="00386495"/>
    <w:rsid w:val="0039253C"/>
    <w:rsid w:val="00392545"/>
    <w:rsid w:val="00395217"/>
    <w:rsid w:val="003967D6"/>
    <w:rsid w:val="0039696F"/>
    <w:rsid w:val="003A0FD6"/>
    <w:rsid w:val="003A1AF9"/>
    <w:rsid w:val="003A4B2B"/>
    <w:rsid w:val="003A5524"/>
    <w:rsid w:val="003A7469"/>
    <w:rsid w:val="003B2AF1"/>
    <w:rsid w:val="003B6567"/>
    <w:rsid w:val="003D02AA"/>
    <w:rsid w:val="003D5A9B"/>
    <w:rsid w:val="003F275D"/>
    <w:rsid w:val="003F37D3"/>
    <w:rsid w:val="004020BD"/>
    <w:rsid w:val="0040620E"/>
    <w:rsid w:val="00420857"/>
    <w:rsid w:val="00423551"/>
    <w:rsid w:val="004257A9"/>
    <w:rsid w:val="00427969"/>
    <w:rsid w:val="00431EA5"/>
    <w:rsid w:val="00455605"/>
    <w:rsid w:val="00457714"/>
    <w:rsid w:val="00460862"/>
    <w:rsid w:val="004616C4"/>
    <w:rsid w:val="0047542F"/>
    <w:rsid w:val="00481248"/>
    <w:rsid w:val="00484693"/>
    <w:rsid w:val="004874B1"/>
    <w:rsid w:val="004C17DA"/>
    <w:rsid w:val="004D09D2"/>
    <w:rsid w:val="004F7AA0"/>
    <w:rsid w:val="005052BB"/>
    <w:rsid w:val="00507380"/>
    <w:rsid w:val="0050791F"/>
    <w:rsid w:val="00531475"/>
    <w:rsid w:val="00535E22"/>
    <w:rsid w:val="00547AFD"/>
    <w:rsid w:val="00554C8B"/>
    <w:rsid w:val="00554EC5"/>
    <w:rsid w:val="005550A1"/>
    <w:rsid w:val="00567B7F"/>
    <w:rsid w:val="0057073B"/>
    <w:rsid w:val="005917DE"/>
    <w:rsid w:val="00591FD0"/>
    <w:rsid w:val="00593055"/>
    <w:rsid w:val="0059674A"/>
    <w:rsid w:val="005A1991"/>
    <w:rsid w:val="005A36E3"/>
    <w:rsid w:val="005B16FD"/>
    <w:rsid w:val="005B2A34"/>
    <w:rsid w:val="005F313C"/>
    <w:rsid w:val="00600412"/>
    <w:rsid w:val="00606A01"/>
    <w:rsid w:val="0061275F"/>
    <w:rsid w:val="00615616"/>
    <w:rsid w:val="00617A41"/>
    <w:rsid w:val="0062155B"/>
    <w:rsid w:val="00622DA9"/>
    <w:rsid w:val="00623705"/>
    <w:rsid w:val="00625244"/>
    <w:rsid w:val="00625FAD"/>
    <w:rsid w:val="00633050"/>
    <w:rsid w:val="00633FD9"/>
    <w:rsid w:val="00677933"/>
    <w:rsid w:val="0068093A"/>
    <w:rsid w:val="00681624"/>
    <w:rsid w:val="006837B8"/>
    <w:rsid w:val="006903C4"/>
    <w:rsid w:val="00690985"/>
    <w:rsid w:val="006A51BC"/>
    <w:rsid w:val="006C2328"/>
    <w:rsid w:val="006C59E4"/>
    <w:rsid w:val="006E6F40"/>
    <w:rsid w:val="006F791B"/>
    <w:rsid w:val="0070016B"/>
    <w:rsid w:val="007102A0"/>
    <w:rsid w:val="00721DC7"/>
    <w:rsid w:val="00744A02"/>
    <w:rsid w:val="00745030"/>
    <w:rsid w:val="00752300"/>
    <w:rsid w:val="0076586D"/>
    <w:rsid w:val="007823DA"/>
    <w:rsid w:val="00792896"/>
    <w:rsid w:val="00795B76"/>
    <w:rsid w:val="007A28CC"/>
    <w:rsid w:val="007B2AC2"/>
    <w:rsid w:val="007C5FBB"/>
    <w:rsid w:val="007D1AD2"/>
    <w:rsid w:val="007D779A"/>
    <w:rsid w:val="007E7C75"/>
    <w:rsid w:val="0080081C"/>
    <w:rsid w:val="00804511"/>
    <w:rsid w:val="00806555"/>
    <w:rsid w:val="00824A6D"/>
    <w:rsid w:val="00831EEB"/>
    <w:rsid w:val="00832F4D"/>
    <w:rsid w:val="008477DD"/>
    <w:rsid w:val="00866EB9"/>
    <w:rsid w:val="00870B94"/>
    <w:rsid w:val="0087337D"/>
    <w:rsid w:val="00874029"/>
    <w:rsid w:val="008961BB"/>
    <w:rsid w:val="008A05AD"/>
    <w:rsid w:val="008B284A"/>
    <w:rsid w:val="008E0E66"/>
    <w:rsid w:val="009136B9"/>
    <w:rsid w:val="00920150"/>
    <w:rsid w:val="00921E92"/>
    <w:rsid w:val="009255F8"/>
    <w:rsid w:val="0092607C"/>
    <w:rsid w:val="009260AE"/>
    <w:rsid w:val="0093272D"/>
    <w:rsid w:val="009404B2"/>
    <w:rsid w:val="009564D2"/>
    <w:rsid w:val="00964991"/>
    <w:rsid w:val="00967C0C"/>
    <w:rsid w:val="00981BA0"/>
    <w:rsid w:val="0098228A"/>
    <w:rsid w:val="0099410F"/>
    <w:rsid w:val="009B0FB4"/>
    <w:rsid w:val="009B4D30"/>
    <w:rsid w:val="009C19E1"/>
    <w:rsid w:val="009C229D"/>
    <w:rsid w:val="009C6137"/>
    <w:rsid w:val="009C7D1C"/>
    <w:rsid w:val="009D1294"/>
    <w:rsid w:val="009F2DB6"/>
    <w:rsid w:val="009F49C2"/>
    <w:rsid w:val="00A063D6"/>
    <w:rsid w:val="00A06E3E"/>
    <w:rsid w:val="00A12860"/>
    <w:rsid w:val="00A235C9"/>
    <w:rsid w:val="00A339A5"/>
    <w:rsid w:val="00A4275D"/>
    <w:rsid w:val="00A4385B"/>
    <w:rsid w:val="00A44551"/>
    <w:rsid w:val="00A46D0A"/>
    <w:rsid w:val="00A4713A"/>
    <w:rsid w:val="00A60E69"/>
    <w:rsid w:val="00A61586"/>
    <w:rsid w:val="00A643BE"/>
    <w:rsid w:val="00A64BE2"/>
    <w:rsid w:val="00A65900"/>
    <w:rsid w:val="00A67CFD"/>
    <w:rsid w:val="00A73ABB"/>
    <w:rsid w:val="00AA40AF"/>
    <w:rsid w:val="00AB5360"/>
    <w:rsid w:val="00AD250B"/>
    <w:rsid w:val="00AE3AA3"/>
    <w:rsid w:val="00AF7CFB"/>
    <w:rsid w:val="00B1380A"/>
    <w:rsid w:val="00B17492"/>
    <w:rsid w:val="00B21FAD"/>
    <w:rsid w:val="00B25DBB"/>
    <w:rsid w:val="00B4201C"/>
    <w:rsid w:val="00B50DB9"/>
    <w:rsid w:val="00B570CE"/>
    <w:rsid w:val="00B744FF"/>
    <w:rsid w:val="00B749AA"/>
    <w:rsid w:val="00B80B3A"/>
    <w:rsid w:val="00BB0EA6"/>
    <w:rsid w:val="00BB1683"/>
    <w:rsid w:val="00BB237F"/>
    <w:rsid w:val="00BB23E5"/>
    <w:rsid w:val="00BB2C11"/>
    <w:rsid w:val="00BB7DA2"/>
    <w:rsid w:val="00BC230A"/>
    <w:rsid w:val="00BC419B"/>
    <w:rsid w:val="00BC674C"/>
    <w:rsid w:val="00BD18E1"/>
    <w:rsid w:val="00BD4BFB"/>
    <w:rsid w:val="00BE0CCE"/>
    <w:rsid w:val="00BF4113"/>
    <w:rsid w:val="00C3475F"/>
    <w:rsid w:val="00C35199"/>
    <w:rsid w:val="00C36478"/>
    <w:rsid w:val="00C36E47"/>
    <w:rsid w:val="00C50B13"/>
    <w:rsid w:val="00C5787C"/>
    <w:rsid w:val="00C614E8"/>
    <w:rsid w:val="00C62630"/>
    <w:rsid w:val="00C627DC"/>
    <w:rsid w:val="00C63C47"/>
    <w:rsid w:val="00CA055B"/>
    <w:rsid w:val="00CA2938"/>
    <w:rsid w:val="00CB0142"/>
    <w:rsid w:val="00CB0CC9"/>
    <w:rsid w:val="00CB1D3C"/>
    <w:rsid w:val="00CB7581"/>
    <w:rsid w:val="00CC791A"/>
    <w:rsid w:val="00CD3143"/>
    <w:rsid w:val="00CD6899"/>
    <w:rsid w:val="00CE0D1B"/>
    <w:rsid w:val="00CE6E14"/>
    <w:rsid w:val="00CF0334"/>
    <w:rsid w:val="00D063A4"/>
    <w:rsid w:val="00D16C18"/>
    <w:rsid w:val="00D2708D"/>
    <w:rsid w:val="00D270A5"/>
    <w:rsid w:val="00D35E51"/>
    <w:rsid w:val="00D374F1"/>
    <w:rsid w:val="00D47030"/>
    <w:rsid w:val="00D472EF"/>
    <w:rsid w:val="00D532C8"/>
    <w:rsid w:val="00D72801"/>
    <w:rsid w:val="00D8605E"/>
    <w:rsid w:val="00D93F7D"/>
    <w:rsid w:val="00D959FB"/>
    <w:rsid w:val="00DA7D2E"/>
    <w:rsid w:val="00DC2FA9"/>
    <w:rsid w:val="00DC40AB"/>
    <w:rsid w:val="00DD28F7"/>
    <w:rsid w:val="00DE7CCD"/>
    <w:rsid w:val="00DF057F"/>
    <w:rsid w:val="00DF4063"/>
    <w:rsid w:val="00DF5843"/>
    <w:rsid w:val="00DF60C0"/>
    <w:rsid w:val="00E10CE5"/>
    <w:rsid w:val="00E13CBE"/>
    <w:rsid w:val="00E17F5B"/>
    <w:rsid w:val="00E3398E"/>
    <w:rsid w:val="00E33E40"/>
    <w:rsid w:val="00E37FED"/>
    <w:rsid w:val="00E6061B"/>
    <w:rsid w:val="00E66F1D"/>
    <w:rsid w:val="00E82B0B"/>
    <w:rsid w:val="00E83623"/>
    <w:rsid w:val="00E87804"/>
    <w:rsid w:val="00E92249"/>
    <w:rsid w:val="00E929E3"/>
    <w:rsid w:val="00EA194E"/>
    <w:rsid w:val="00EB3FA8"/>
    <w:rsid w:val="00EB5DC2"/>
    <w:rsid w:val="00EF42AD"/>
    <w:rsid w:val="00EF5503"/>
    <w:rsid w:val="00EF678B"/>
    <w:rsid w:val="00F13F2E"/>
    <w:rsid w:val="00F17B7E"/>
    <w:rsid w:val="00F254FE"/>
    <w:rsid w:val="00F45896"/>
    <w:rsid w:val="00F45A05"/>
    <w:rsid w:val="00F51C4D"/>
    <w:rsid w:val="00F532D6"/>
    <w:rsid w:val="00F56AA1"/>
    <w:rsid w:val="00F57296"/>
    <w:rsid w:val="00F6303B"/>
    <w:rsid w:val="00F6320F"/>
    <w:rsid w:val="00F708A9"/>
    <w:rsid w:val="00F761E4"/>
    <w:rsid w:val="00F7717D"/>
    <w:rsid w:val="00F822F1"/>
    <w:rsid w:val="00F8425D"/>
    <w:rsid w:val="00F9797C"/>
    <w:rsid w:val="00FA5AEB"/>
    <w:rsid w:val="00FA7D61"/>
    <w:rsid w:val="00FC2C83"/>
    <w:rsid w:val="00FC3751"/>
    <w:rsid w:val="00FD0C5F"/>
    <w:rsid w:val="00FD15F1"/>
    <w:rsid w:val="00FD6A3B"/>
    <w:rsid w:val="00FD6CC1"/>
    <w:rsid w:val="00FD759E"/>
    <w:rsid w:val="00FE61D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08A0F"/>
  <w15:docId w15:val="{19049B0E-6F8F-4D35-B235-5BB822B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ind w:firstLine="284"/>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FBB"/>
    <w:rPr>
      <w:rFonts w:ascii="Times New Roman" w:eastAsia="Times New Roman" w:hAnsi="Times New Roman" w:cs="Times New Roman"/>
      <w:sz w:val="18"/>
      <w:szCs w:val="24"/>
      <w:lang w:eastAsia="es-ES"/>
    </w:rPr>
  </w:style>
  <w:style w:type="paragraph" w:styleId="Ttulo1">
    <w:name w:val="heading 1"/>
    <w:aliases w:val="ADYNA_Título 01"/>
    <w:basedOn w:val="Normal"/>
    <w:next w:val="Normal"/>
    <w:link w:val="Ttulo1Car"/>
    <w:uiPriority w:val="9"/>
    <w:qFormat/>
    <w:rsid w:val="00455605"/>
    <w:pPr>
      <w:widowControl w:val="0"/>
      <w:numPr>
        <w:numId w:val="8"/>
      </w:numPr>
      <w:ind w:left="0" w:firstLine="0"/>
      <w:jc w:val="left"/>
      <w:outlineLvl w:val="0"/>
    </w:pPr>
    <w:rPr>
      <w:rFonts w:eastAsiaTheme="majorEastAsia" w:cstheme="majorBidi"/>
      <w:b/>
      <w:bCs/>
      <w:szCs w:val="20"/>
      <w:lang w:val="en-US"/>
    </w:rPr>
  </w:style>
  <w:style w:type="paragraph" w:styleId="Ttulo2">
    <w:name w:val="heading 2"/>
    <w:aliases w:val="ADYNA_Título 2"/>
    <w:basedOn w:val="Normal"/>
    <w:next w:val="Normal"/>
    <w:link w:val="Ttulo2Car"/>
    <w:qFormat/>
    <w:rsid w:val="00CD6899"/>
    <w:pPr>
      <w:keepNext/>
      <w:numPr>
        <w:ilvl w:val="1"/>
        <w:numId w:val="8"/>
      </w:numPr>
      <w:outlineLvl w:val="1"/>
    </w:pPr>
    <w:rPr>
      <w:b/>
      <w:bCs/>
      <w:i/>
    </w:rPr>
  </w:style>
  <w:style w:type="paragraph" w:styleId="Ttulo3">
    <w:name w:val="heading 3"/>
    <w:aliases w:val="ADYNA_Título 3"/>
    <w:basedOn w:val="Normal"/>
    <w:next w:val="Normal"/>
    <w:link w:val="Ttulo3Car"/>
    <w:uiPriority w:val="9"/>
    <w:unhideWhenUsed/>
    <w:qFormat/>
    <w:rsid w:val="00CD6899"/>
    <w:pPr>
      <w:keepNext/>
      <w:keepLines/>
      <w:numPr>
        <w:ilvl w:val="2"/>
        <w:numId w:val="8"/>
      </w:numPr>
      <w:spacing w:before="200"/>
      <w:outlineLvl w:val="2"/>
    </w:pPr>
    <w:rPr>
      <w:rFonts w:eastAsiaTheme="majorEastAsia" w:cstheme="majorBidi"/>
      <w:bCs/>
    </w:rPr>
  </w:style>
  <w:style w:type="paragraph" w:styleId="Ttulo4">
    <w:name w:val="heading 4"/>
    <w:aliases w:val="ADYNA_Título 4"/>
    <w:basedOn w:val="Normal"/>
    <w:next w:val="Normal"/>
    <w:link w:val="Ttulo4Car"/>
    <w:uiPriority w:val="9"/>
    <w:semiHidden/>
    <w:unhideWhenUsed/>
    <w:qFormat/>
    <w:rsid w:val="007C5FBB"/>
    <w:pPr>
      <w:keepNext/>
      <w:keepLines/>
      <w:numPr>
        <w:ilvl w:val="3"/>
        <w:numId w:val="8"/>
      </w:numPr>
      <w:spacing w:before="20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FD759E"/>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D759E"/>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D759E"/>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D759E"/>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FD759E"/>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DYNA_Título 2 Car"/>
    <w:basedOn w:val="Fuentedeprrafopredeter"/>
    <w:link w:val="Ttulo2"/>
    <w:rsid w:val="00CD6899"/>
    <w:rPr>
      <w:rFonts w:ascii="Times New Roman" w:eastAsia="Times New Roman" w:hAnsi="Times New Roman" w:cs="Times New Roman"/>
      <w:b/>
      <w:bCs/>
      <w:i/>
      <w:sz w:val="20"/>
      <w:szCs w:val="24"/>
      <w:lang w:eastAsia="es-ES"/>
    </w:rPr>
  </w:style>
  <w:style w:type="paragraph" w:styleId="Encabezado">
    <w:name w:val="header"/>
    <w:basedOn w:val="Normal"/>
    <w:link w:val="EncabezadoCar"/>
    <w:uiPriority w:val="99"/>
    <w:unhideWhenUsed/>
    <w:rsid w:val="0099410F"/>
    <w:pPr>
      <w:tabs>
        <w:tab w:val="center" w:pos="4252"/>
        <w:tab w:val="right" w:pos="8504"/>
      </w:tabs>
    </w:pPr>
  </w:style>
  <w:style w:type="character" w:customStyle="1" w:styleId="EncabezadoCar">
    <w:name w:val="Encabezado Car"/>
    <w:basedOn w:val="Fuentedeprrafopredeter"/>
    <w:link w:val="Encabezado"/>
    <w:uiPriority w:val="99"/>
    <w:rsid w:val="0099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10F"/>
    <w:pPr>
      <w:tabs>
        <w:tab w:val="center" w:pos="4252"/>
        <w:tab w:val="right" w:pos="8504"/>
      </w:tabs>
    </w:pPr>
  </w:style>
  <w:style w:type="character" w:customStyle="1" w:styleId="PiedepginaCar">
    <w:name w:val="Pie de página Car"/>
    <w:basedOn w:val="Fuentedeprrafopredeter"/>
    <w:link w:val="Piedepgina"/>
    <w:uiPriority w:val="99"/>
    <w:rsid w:val="009941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410F"/>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99410F"/>
    <w:rPr>
      <w:rFonts w:ascii="Lucida Grande" w:eastAsia="Times New Roman" w:hAnsi="Lucida Grande" w:cs="Lucida Grande"/>
      <w:sz w:val="18"/>
      <w:szCs w:val="18"/>
      <w:lang w:eastAsia="es-ES"/>
    </w:rPr>
  </w:style>
  <w:style w:type="paragraph" w:styleId="Prrafodelista">
    <w:name w:val="List Paragraph"/>
    <w:basedOn w:val="Normal"/>
    <w:uiPriority w:val="34"/>
    <w:rsid w:val="007C5FBB"/>
    <w:pPr>
      <w:ind w:left="720"/>
      <w:contextualSpacing/>
    </w:pPr>
    <w:rPr>
      <w:color w:val="00B050"/>
    </w:rPr>
  </w:style>
  <w:style w:type="table" w:styleId="Tablaconcuadrcula">
    <w:name w:val="Table Grid"/>
    <w:basedOn w:val="Tablanormal"/>
    <w:uiPriority w:val="59"/>
    <w:rsid w:val="00A6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33050"/>
    <w:rPr>
      <w:color w:val="0000FF"/>
      <w:u w:val="single"/>
    </w:rPr>
  </w:style>
  <w:style w:type="character" w:customStyle="1" w:styleId="Ttulo1Car">
    <w:name w:val="Título 1 Car"/>
    <w:aliases w:val="ADYNA_Título 01 Car"/>
    <w:basedOn w:val="Fuentedeprrafopredeter"/>
    <w:link w:val="Ttulo1"/>
    <w:uiPriority w:val="9"/>
    <w:rsid w:val="00455605"/>
    <w:rPr>
      <w:rFonts w:ascii="Times New Roman" w:eastAsiaTheme="majorEastAsia" w:hAnsi="Times New Roman" w:cstheme="majorBidi"/>
      <w:b/>
      <w:bCs/>
      <w:sz w:val="20"/>
      <w:szCs w:val="20"/>
      <w:lang w:val="en-US" w:eastAsia="es-ES"/>
    </w:rPr>
  </w:style>
  <w:style w:type="character" w:customStyle="1" w:styleId="Ttulo3Car">
    <w:name w:val="Título 3 Car"/>
    <w:aliases w:val="ADYNA_Título 3 Car"/>
    <w:basedOn w:val="Fuentedeprrafopredeter"/>
    <w:link w:val="Ttulo3"/>
    <w:uiPriority w:val="9"/>
    <w:rsid w:val="00CD6899"/>
    <w:rPr>
      <w:rFonts w:ascii="Times New Roman" w:eastAsiaTheme="majorEastAsia" w:hAnsi="Times New Roman" w:cstheme="majorBidi"/>
      <w:bCs/>
      <w:sz w:val="20"/>
      <w:szCs w:val="24"/>
      <w:lang w:eastAsia="es-ES"/>
    </w:rPr>
  </w:style>
  <w:style w:type="character" w:customStyle="1" w:styleId="Ttulo4Car">
    <w:name w:val="Título 4 Car"/>
    <w:aliases w:val="ADYNA_Título 4 Car"/>
    <w:basedOn w:val="Fuentedeprrafopredeter"/>
    <w:link w:val="Ttulo4"/>
    <w:uiPriority w:val="9"/>
    <w:semiHidden/>
    <w:rsid w:val="007C5FBB"/>
    <w:rPr>
      <w:rFonts w:asciiTheme="majorHAnsi" w:eastAsiaTheme="majorEastAsia" w:hAnsiTheme="majorHAnsi" w:cstheme="majorBidi"/>
      <w:b/>
      <w:bCs/>
      <w:i/>
      <w:iCs/>
      <w:color w:val="0070C0"/>
      <w:sz w:val="20"/>
      <w:szCs w:val="24"/>
      <w:lang w:eastAsia="es-ES"/>
    </w:rPr>
  </w:style>
  <w:style w:type="character" w:customStyle="1" w:styleId="Ttulo5Car">
    <w:name w:val="Título 5 Car"/>
    <w:basedOn w:val="Fuentedeprrafopredeter"/>
    <w:link w:val="Ttulo5"/>
    <w:uiPriority w:val="9"/>
    <w:semiHidden/>
    <w:rsid w:val="00FD759E"/>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FD759E"/>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FD759E"/>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FD759E"/>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FD759E"/>
    <w:rPr>
      <w:rFonts w:asciiTheme="majorHAnsi" w:eastAsiaTheme="majorEastAsia" w:hAnsiTheme="majorHAnsi" w:cstheme="majorBidi"/>
      <w:i/>
      <w:iCs/>
      <w:color w:val="404040" w:themeColor="text1" w:themeTint="BF"/>
      <w:sz w:val="20"/>
      <w:szCs w:val="20"/>
      <w:lang w:eastAsia="es-ES"/>
    </w:rPr>
  </w:style>
  <w:style w:type="paragraph" w:customStyle="1" w:styleId="ADYNATituloArticulo">
    <w:name w:val="ADYNA_Titulo Articulo"/>
    <w:basedOn w:val="Normal"/>
    <w:qFormat/>
    <w:rsid w:val="00395217"/>
    <w:pPr>
      <w:jc w:val="center"/>
    </w:pPr>
    <w:rPr>
      <w:sz w:val="36"/>
      <w:szCs w:val="32"/>
      <w:lang w:val="en-US"/>
    </w:rPr>
  </w:style>
  <w:style w:type="paragraph" w:customStyle="1" w:styleId="ADYNAAutores">
    <w:name w:val="ADYNA_Autores"/>
    <w:basedOn w:val="Normal"/>
    <w:qFormat/>
    <w:rsid w:val="00395217"/>
    <w:pPr>
      <w:jc w:val="center"/>
    </w:pPr>
    <w:rPr>
      <w:sz w:val="26"/>
      <w:szCs w:val="20"/>
      <w:lang w:val="es-CO"/>
    </w:rPr>
  </w:style>
  <w:style w:type="character" w:styleId="Refdecomentario">
    <w:name w:val="annotation reference"/>
    <w:basedOn w:val="Fuentedeprrafopredeter"/>
    <w:uiPriority w:val="99"/>
    <w:semiHidden/>
    <w:unhideWhenUsed/>
    <w:rsid w:val="00B1380A"/>
    <w:rPr>
      <w:sz w:val="16"/>
      <w:szCs w:val="16"/>
    </w:rPr>
  </w:style>
  <w:style w:type="paragraph" w:styleId="Textocomentario">
    <w:name w:val="annotation text"/>
    <w:basedOn w:val="Normal"/>
    <w:link w:val="TextocomentarioCar"/>
    <w:uiPriority w:val="99"/>
    <w:semiHidden/>
    <w:unhideWhenUsed/>
    <w:rsid w:val="00B1380A"/>
    <w:rPr>
      <w:szCs w:val="20"/>
    </w:rPr>
  </w:style>
  <w:style w:type="character" w:customStyle="1" w:styleId="TextocomentarioCar">
    <w:name w:val="Texto comentario Car"/>
    <w:basedOn w:val="Fuentedeprrafopredeter"/>
    <w:link w:val="Textocomentario"/>
    <w:uiPriority w:val="99"/>
    <w:semiHidden/>
    <w:rsid w:val="00B138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80A"/>
    <w:rPr>
      <w:b/>
      <w:bCs/>
    </w:rPr>
  </w:style>
  <w:style w:type="character" w:customStyle="1" w:styleId="AsuntodelcomentarioCar">
    <w:name w:val="Asunto del comentario Car"/>
    <w:basedOn w:val="TextocomentarioCar"/>
    <w:link w:val="Asuntodelcomentario"/>
    <w:uiPriority w:val="99"/>
    <w:semiHidden/>
    <w:rsid w:val="00B1380A"/>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372740"/>
  </w:style>
  <w:style w:type="character" w:styleId="Textodelmarcadordeposicin">
    <w:name w:val="Placeholder Text"/>
    <w:basedOn w:val="Fuentedeprrafopredeter"/>
    <w:uiPriority w:val="99"/>
    <w:semiHidden/>
    <w:rsid w:val="00752300"/>
    <w:rPr>
      <w:color w:val="808080"/>
    </w:rPr>
  </w:style>
  <w:style w:type="character" w:styleId="Textoennegrita">
    <w:name w:val="Strong"/>
    <w:basedOn w:val="Fuentedeprrafopredeter"/>
    <w:uiPriority w:val="22"/>
    <w:rsid w:val="003B6567"/>
    <w:rPr>
      <w:b/>
      <w:bCs/>
    </w:rPr>
  </w:style>
  <w:style w:type="character" w:customStyle="1" w:styleId="negritarojo">
    <w:name w:val="negritarojo"/>
    <w:basedOn w:val="Fuentedeprrafopredeter"/>
    <w:rsid w:val="003B6567"/>
  </w:style>
  <w:style w:type="character" w:customStyle="1" w:styleId="apple-converted-space">
    <w:name w:val="apple-converted-space"/>
    <w:basedOn w:val="Fuentedeprrafopredeter"/>
    <w:rsid w:val="003B6567"/>
  </w:style>
  <w:style w:type="paragraph" w:styleId="NormalWeb">
    <w:name w:val="Normal (Web)"/>
    <w:basedOn w:val="Normal"/>
    <w:uiPriority w:val="99"/>
    <w:semiHidden/>
    <w:unhideWhenUsed/>
    <w:rsid w:val="00392545"/>
    <w:pPr>
      <w:spacing w:before="100" w:beforeAutospacing="1" w:after="100" w:afterAutospacing="1"/>
      <w:jc w:val="left"/>
    </w:pPr>
    <w:rPr>
      <w:sz w:val="24"/>
      <w:lang w:val="es-CO" w:eastAsia="es-CO"/>
    </w:rPr>
  </w:style>
  <w:style w:type="paragraph" w:customStyle="1" w:styleId="ADYNABibliografia">
    <w:name w:val="ADYNA_Bibliografia"/>
    <w:basedOn w:val="Normal"/>
    <w:qFormat/>
    <w:rsid w:val="00395217"/>
    <w:pPr>
      <w:spacing w:after="160"/>
    </w:pPr>
    <w:rPr>
      <w:sz w:val="16"/>
      <w:szCs w:val="20"/>
      <w:lang w:val="en-US"/>
    </w:rPr>
  </w:style>
  <w:style w:type="paragraph" w:styleId="Sinespaciado">
    <w:name w:val="No Spacing"/>
    <w:uiPriority w:val="1"/>
    <w:rsid w:val="007C5FBB"/>
    <w:rPr>
      <w:rFonts w:ascii="Times New Roman" w:eastAsia="Times New Roman" w:hAnsi="Times New Roman" w:cs="Times New Roman"/>
      <w:color w:val="943634" w:themeColor="accent2" w:themeShade="BF"/>
      <w:sz w:val="20"/>
      <w:szCs w:val="24"/>
      <w:lang w:eastAsia="es-ES"/>
    </w:rPr>
  </w:style>
  <w:style w:type="character" w:styleId="nfasisintenso">
    <w:name w:val="Intense Emphasis"/>
    <w:basedOn w:val="Fuentedeprrafopredeter"/>
    <w:uiPriority w:val="21"/>
    <w:rsid w:val="007C5FBB"/>
    <w:rPr>
      <w:i/>
      <w:iCs/>
      <w:color w:val="00B050"/>
    </w:rPr>
  </w:style>
  <w:style w:type="paragraph" w:styleId="Citadestacada">
    <w:name w:val="Intense Quote"/>
    <w:basedOn w:val="Normal"/>
    <w:next w:val="Normal"/>
    <w:link w:val="CitadestacadaCar"/>
    <w:uiPriority w:val="30"/>
    <w:rsid w:val="007C5FBB"/>
    <w:pPr>
      <w:pBdr>
        <w:top w:val="single" w:sz="4" w:space="10" w:color="4F81BD" w:themeColor="accent1"/>
        <w:bottom w:val="single" w:sz="4" w:space="10" w:color="4F81BD" w:themeColor="accent1"/>
      </w:pBdr>
      <w:spacing w:before="360" w:after="360"/>
      <w:ind w:left="864" w:right="864"/>
      <w:jc w:val="center"/>
    </w:pPr>
    <w:rPr>
      <w:i/>
      <w:iCs/>
      <w:color w:val="E36C0A" w:themeColor="accent6" w:themeShade="BF"/>
    </w:rPr>
  </w:style>
  <w:style w:type="character" w:customStyle="1" w:styleId="CitadestacadaCar">
    <w:name w:val="Cita destacada Car"/>
    <w:basedOn w:val="Fuentedeprrafopredeter"/>
    <w:link w:val="Citadestacada"/>
    <w:uiPriority w:val="30"/>
    <w:rsid w:val="007C5FBB"/>
    <w:rPr>
      <w:rFonts w:ascii="Times New Roman" w:eastAsia="Times New Roman" w:hAnsi="Times New Roman" w:cs="Times New Roman"/>
      <w:i/>
      <w:iCs/>
      <w:color w:val="E36C0A" w:themeColor="accent6" w:themeShade="BF"/>
      <w:sz w:val="20"/>
      <w:szCs w:val="24"/>
      <w:lang w:eastAsia="es-ES"/>
    </w:rPr>
  </w:style>
  <w:style w:type="paragraph" w:customStyle="1" w:styleId="ADYNAAbstrac">
    <w:name w:val="ADYNA_Abstrac"/>
    <w:basedOn w:val="Normal"/>
    <w:qFormat/>
    <w:rsid w:val="007C5FBB"/>
    <w:rPr>
      <w:lang w:val="en-US"/>
    </w:rPr>
  </w:style>
  <w:style w:type="paragraph" w:customStyle="1" w:styleId="ADYNATitulo1">
    <w:name w:val="ADYNA_Titulo 1"/>
    <w:basedOn w:val="Ttulo1"/>
    <w:rsid w:val="007C5FBB"/>
    <w:pPr>
      <w:numPr>
        <w:numId w:val="0"/>
      </w:numPr>
    </w:pPr>
  </w:style>
  <w:style w:type="paragraph" w:customStyle="1" w:styleId="ADYNATitulo2">
    <w:name w:val="ADYNA_Titulo 2"/>
    <w:basedOn w:val="Ttulo2"/>
    <w:rsid w:val="007C5FBB"/>
    <w:pPr>
      <w:numPr>
        <w:ilvl w:val="0"/>
        <w:numId w:val="0"/>
      </w:numPr>
      <w:ind w:left="576" w:hanging="576"/>
    </w:pPr>
    <w:rPr>
      <w:lang w:val="en-US"/>
    </w:rPr>
  </w:style>
  <w:style w:type="paragraph" w:customStyle="1" w:styleId="ADYNATitulo3">
    <w:name w:val="ADYNA_Titulo 3"/>
    <w:basedOn w:val="Ttulo2"/>
    <w:rsid w:val="007C5FBB"/>
    <w:pPr>
      <w:numPr>
        <w:ilvl w:val="0"/>
        <w:numId w:val="0"/>
      </w:numPr>
      <w:ind w:left="576" w:hanging="576"/>
    </w:pPr>
    <w:rPr>
      <w:b w:val="0"/>
      <w:i w:val="0"/>
      <w:lang w:val="en-US"/>
    </w:rPr>
  </w:style>
  <w:style w:type="paragraph" w:customStyle="1" w:styleId="ADYNATabla">
    <w:name w:val="ADYNA_Tabla"/>
    <w:basedOn w:val="Normal"/>
    <w:rsid w:val="007C5FBB"/>
    <w:rPr>
      <w:sz w:val="16"/>
      <w:szCs w:val="20"/>
      <w:lang w:val="en-US"/>
    </w:rPr>
  </w:style>
  <w:style w:type="paragraph" w:customStyle="1" w:styleId="ADYNAFiliacion">
    <w:name w:val="ADYNA_Filiacion"/>
    <w:basedOn w:val="Normal"/>
    <w:rsid w:val="007C5FBB"/>
    <w:pPr>
      <w:jc w:val="center"/>
    </w:pPr>
    <w:rPr>
      <w:i/>
      <w:sz w:val="16"/>
      <w:szCs w:val="20"/>
      <w:lang w:val="es-ES_tradnl"/>
    </w:rPr>
  </w:style>
  <w:style w:type="paragraph" w:customStyle="1" w:styleId="ADYNACVAutores">
    <w:name w:val="ADYNA_CV Autores"/>
    <w:basedOn w:val="Normal"/>
    <w:rsid w:val="007C5FBB"/>
    <w:rPr>
      <w:sz w:val="16"/>
      <w:szCs w:val="20"/>
      <w:lang w:val="en-US"/>
    </w:rPr>
  </w:style>
  <w:style w:type="paragraph" w:customStyle="1" w:styleId="ADYNAPiePagina">
    <w:name w:val="ADYNA_Pie Pagina"/>
    <w:basedOn w:val="ADYNATituloArticulo"/>
    <w:rsid w:val="0080081C"/>
    <w:pPr>
      <w:spacing w:before="200"/>
      <w:jc w:val="left"/>
    </w:pPr>
    <w:rPr>
      <w:sz w:val="16"/>
      <w:szCs w:val="16"/>
      <w:lang w:val="es-CO"/>
    </w:rPr>
  </w:style>
  <w:style w:type="paragraph" w:customStyle="1" w:styleId="ADYNANormal">
    <w:name w:val="ADYNA_Normal"/>
    <w:basedOn w:val="Normal"/>
    <w:rsid w:val="002611B1"/>
    <w:rPr>
      <w:sz w:val="20"/>
      <w:szCs w:val="20"/>
      <w:lang w:val="en-US"/>
    </w:rPr>
  </w:style>
  <w:style w:type="paragraph" w:customStyle="1" w:styleId="TituloArticulo">
    <w:name w:val="Titulo Articulo"/>
    <w:basedOn w:val="Normal"/>
    <w:qFormat/>
    <w:rsid w:val="00EB3FA8"/>
    <w:pPr>
      <w:jc w:val="center"/>
    </w:pPr>
    <w:rPr>
      <w:sz w:val="36"/>
      <w:szCs w:val="32"/>
      <w:lang w:val="en-US"/>
    </w:rPr>
  </w:style>
  <w:style w:type="character" w:customStyle="1" w:styleId="libx-autolink">
    <w:name w:val="libx-autolink"/>
    <w:basedOn w:val="Fuentedeprrafopredeter"/>
    <w:rsid w:val="004020BD"/>
  </w:style>
  <w:style w:type="character" w:styleId="nfasis">
    <w:name w:val="Emphasis"/>
    <w:basedOn w:val="Fuentedeprrafopredeter"/>
    <w:uiPriority w:val="20"/>
    <w:qFormat/>
    <w:rsid w:val="004020BD"/>
    <w:rPr>
      <w:i/>
      <w:iCs/>
    </w:rPr>
  </w:style>
  <w:style w:type="paragraph" w:customStyle="1" w:styleId="Authors">
    <w:name w:val="Authors"/>
    <w:basedOn w:val="Normal"/>
    <w:next w:val="Normal"/>
    <w:rsid w:val="00F6320F"/>
    <w:pPr>
      <w:framePr w:w="9072" w:hSpace="187" w:vSpace="187" w:wrap="notBeside" w:vAnchor="text" w:hAnchor="page" w:xAlign="center" w:y="1"/>
      <w:autoSpaceDE w:val="0"/>
      <w:autoSpaceDN w:val="0"/>
      <w:spacing w:after="320"/>
      <w:jc w:val="center"/>
    </w:pPr>
    <w:rPr>
      <w:rFonts w:ascii="(Użyj czcionki tekstu azjatycki" w:hAnsi="(Użyj czcionki tekstu azjatyck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68290">
      <w:bodyDiv w:val="1"/>
      <w:marLeft w:val="0"/>
      <w:marRight w:val="0"/>
      <w:marTop w:val="0"/>
      <w:marBottom w:val="0"/>
      <w:divBdr>
        <w:top w:val="none" w:sz="0" w:space="0" w:color="auto"/>
        <w:left w:val="none" w:sz="0" w:space="0" w:color="auto"/>
        <w:bottom w:val="none" w:sz="0" w:space="0" w:color="auto"/>
        <w:right w:val="none" w:sz="0" w:space="0" w:color="auto"/>
      </w:divBdr>
      <w:divsChild>
        <w:div w:id="1406224876">
          <w:marLeft w:val="0"/>
          <w:marRight w:val="0"/>
          <w:marTop w:val="0"/>
          <w:marBottom w:val="0"/>
          <w:divBdr>
            <w:top w:val="none" w:sz="0" w:space="0" w:color="auto"/>
            <w:left w:val="none" w:sz="0" w:space="0" w:color="auto"/>
            <w:bottom w:val="none" w:sz="0" w:space="0" w:color="auto"/>
            <w:right w:val="none" w:sz="0" w:space="0" w:color="auto"/>
          </w:divBdr>
          <w:divsChild>
            <w:div w:id="1737707404">
              <w:marLeft w:val="0"/>
              <w:marRight w:val="0"/>
              <w:marTop w:val="0"/>
              <w:marBottom w:val="0"/>
              <w:divBdr>
                <w:top w:val="none" w:sz="0" w:space="0" w:color="auto"/>
                <w:left w:val="none" w:sz="0" w:space="0" w:color="auto"/>
                <w:bottom w:val="none" w:sz="0" w:space="0" w:color="auto"/>
                <w:right w:val="none" w:sz="0" w:space="0" w:color="auto"/>
              </w:divBdr>
              <w:divsChild>
                <w:div w:id="1647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x.doi.org/10.1007/978-94-010-0273-8_11"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LiX10</b:Tag>
    <b:SourceType>JournalArticle</b:SourceType>
    <b:Guid>{D4FB78DA-2BA3-4074-82B0-9AD9E70E4F33}</b:Guid>
    <b:Author>
      <b:Author>
        <b:NameList>
          <b:Person>
            <b:Last>Li</b:Last>
            <b:First>Xinxin</b:First>
          </b:Person>
          <b:Person>
            <b:Last>Zhao</b:Last>
            <b:First>Daomu</b:First>
          </b:Person>
        </b:NameList>
      </b:Author>
    </b:Author>
    <b:Title>Optical color image encryption with redefined fractional</b:Title>
    <b:JournalName>Optik</b:JournalName>
    <b:Year>2010</b:Year>
    <b:RefOrder>2</b:RefOrder>
  </b:Source>
  <b:Source>
    <b:Tag>Liu14</b:Tag>
    <b:SourceType>JournalArticle</b:SourceType>
    <b:Guid>{BF003CE7-9A48-4E13-A57A-CBD01B7DB78A}</b:Guid>
    <b:Author>
      <b:Author>
        <b:NameList>
          <b:Person>
            <b:Last>Liu</b:Last>
            <b:First>Shi</b:First>
          </b:Person>
          <b:Person>
            <b:Last>Guo</b:Last>
            <b:First>Changliang</b:First>
          </b:Person>
          <b:Person>
            <b:Last>Sheridan</b:Last>
            <b:First>John</b:First>
            <b:Middle>T.</b:Middle>
          </b:Person>
        </b:NameList>
      </b:Author>
    </b:Author>
    <b:Title>A review of optical image encryption techniques</b:Title>
    <b:JournalName>Optics and Laser Technology</b:JournalName>
    <b:Year>2014</b:Year>
    <b:RefOrder>3</b:RefOrder>
  </b:Source>
  <b:Source>
    <b:Tag>Nom00</b:Tag>
    <b:SourceType>JournalArticle</b:SourceType>
    <b:Guid>{D9D6412E-8E29-4B79-9965-76A3D04F6489}</b:Guid>
    <b:Author>
      <b:Author>
        <b:NameList>
          <b:Person>
            <b:Last>Nomura</b:Last>
            <b:First>Takanori</b:First>
          </b:Person>
          <b:Person>
            <b:Last>Javidi</b:Last>
            <b:First>Bahram</b:First>
          </b:Person>
        </b:NameList>
      </b:Author>
    </b:Author>
    <b:Title>Optical encryption using a joint transform correlator architecture</b:Title>
    <b:JournalName>Optical Engineering</b:JournalName>
    <b:Year>2000</b:Year>
    <b:Volume>39</b:Volume>
    <b:Issue>8</b:Issue>
    <b:RefOrder>4</b:RefOrder>
  </b:Source>
  <b:Source>
    <b:Tag>Ref95</b:Tag>
    <b:SourceType>JournalArticle</b:SourceType>
    <b:Guid>{290F3A4D-D63A-4B26-9ED2-0BB5DC98A050}</b:Guid>
    <b:Title>Optical image encryption based on input plane and fourier plane encoding</b:Title>
    <b:Year>1995</b:Year>
    <b:Author>
      <b:Author>
        <b:NameList>
          <b:Person>
            <b:Last>Refregier</b:Last>
            <b:First>Philippe</b:First>
          </b:Person>
          <b:Person>
            <b:Last>Javidi</b:Last>
            <b:First>Bahram</b:First>
          </b:Person>
        </b:NameList>
      </b:Author>
    </b:Author>
    <b:JournalName>Optics Letters</b:JournalName>
    <b:Pages>767-769</b:Pages>
    <b:Volume>20</b:Volume>
    <b:Issue>7</b:Issue>
    <b:RefOrder>5</b:RefOrder>
  </b:Source>
  <b:Source>
    <b:Tag>Rue14</b:Tag>
    <b:SourceType>JournalArticle</b:SourceType>
    <b:Guid>{09E2047A-835B-42C6-B364-13862EAEC6CD}</b:Guid>
    <b:Author>
      <b:Author>
        <b:NameList>
          <b:Person>
            <b:Last>Rueda</b:Last>
            <b:First>Jorge</b:First>
            <b:Middle>Enrique</b:Middle>
          </b:Person>
        </b:NameList>
      </b:Author>
    </b:Author>
    <b:Title>Encryption using circular harmonic key</b:Title>
    <b:JournalName>Dyna</b:JournalName>
    <b:Year>2015</b:Year>
    <b:Pages>70-73</b:Pages>
    <b:Volume>82</b:Volume>
    <b:Issue>190</b:Issue>
    <b:RefOrder>6</b:RefOrder>
  </b:Source>
  <b:Source>
    <b:Tag>Rue13</b:Tag>
    <b:SourceType>JournalArticle</b:SourceType>
    <b:Guid>{139A1795-243F-4093-B508-F5E569F05CED}</b:Guid>
    <b:Title>Optical cryptography using Fresnel diffraction and phase conjugation</b:Title>
    <b:JournalName>DYNA</b:JournalName>
    <b:Year>2013</b:Year>
    <b:Pages>25-30</b:Pages>
    <b:Volume>80</b:Volume>
    <b:Issue>181</b:Issue>
    <b:Author>
      <b:Author>
        <b:NameList>
          <b:Person>
            <b:Last>Rueda</b:Last>
            <b:Middle>Enrique</b:Middle>
            <b:First>Jorge</b:First>
          </b:Person>
          <b:Person>
            <b:Last>Romero</b:Last>
            <b:Middle>Ludia</b:Middle>
            <b:First>Ana</b:First>
          </b:Person>
        </b:NameList>
      </b:Author>
    </b:Author>
    <b:RefOrder>7</b:RefOrder>
  </b:Source>
  <b:Source>
    <b:Tag>Teb09</b:Tag>
    <b:SourceType>JournalArticle</b:SourceType>
    <b:Guid>{B47EFFC5-3EE2-4AAD-8D7F-52C78F4C9DEA}</b:Guid>
    <b:Author>
      <b:Author>
        <b:NameList>
          <b:Person>
            <b:Last>Tebaldi</b:Last>
            <b:First>M</b:First>
            <b:Middle>yrian</b:Middle>
          </b:Person>
        </b:NameList>
      </b:Author>
    </b:Author>
    <b:Title>Optical-data storage-readout technique based on fractal encrpting masks</b:Title>
    <b:JournalName>Optics Letters</b:JournalName>
    <b:Year>2009</b:Year>
    <b:Volume>34</b:Volume>
    <b:Issue>3</b:Issue>
    <b:RefOrder>8</b:RefOrder>
  </b:Source>
  <b:Source>
    <b:Tag>Vil13</b:Tag>
    <b:SourceType>JournalArticle</b:SourceType>
    <b:Guid>{869CD884-AD72-445E-91B7-9E552639B2D6}</b:Guid>
    <b:Author>
      <b:Author>
        <b:NameList>
          <b:Person>
            <b:Last>Vilardy</b:Last>
            <b:First>Juan</b:First>
            <b:Middle>M</b:Middle>
          </b:Person>
          <b:Person>
            <b:Last>Millan</b:Last>
            <b:First>María</b:First>
            <b:Middle>Sagrario</b:Middle>
          </b:Person>
          <b:Person>
            <b:Last>Pérez-Cabré</b:Last>
            <b:First>Elisabet</b:First>
          </b:Person>
        </b:NameList>
      </b:Author>
    </b:Author>
    <b:Title>Joint transform correlador-based encryption system using the Fresnel transform and nonlinear filtering</b:Title>
    <b:JournalName>Proceedings of Spie</b:JournalName>
    <b:Year>2013</b:Year>
    <b:RefOrder>9</b:RefOrder>
  </b:Source>
  <b:Source>
    <b:Tag>Zam16</b:Tag>
    <b:SourceType>JournalArticle</b:SourceType>
    <b:Guid>{55A64463-84EB-4CC9-B020-697F0AF87D3C}</b:Guid>
    <b:Author>
      <b:Author>
        <b:NameList>
          <b:Person>
            <b:Last>Zamrani</b:Last>
            <b:First>Wiam</b:First>
          </b:Person>
          <b:Person>
            <b:Last>Ahouzi</b:Last>
            <b:First>Email</b:First>
          </b:Person>
          <b:Person>
            <b:Last>Lizana</b:Last>
            <b:First>Angel</b:First>
          </b:Person>
          <b:Person>
            <b:Last>Campos</b:Last>
            <b:First>Juan</b:First>
          </b:Person>
          <b:Person>
            <b:Last>Yzuel</b:Last>
            <b:First>María</b:First>
            <b:Middle>J.</b:Middle>
          </b:Person>
        </b:NameList>
      </b:Author>
    </b:Author>
    <b:Title>Optical image encryption technique based on deterministic phase masks</b:Title>
    <b:JournalName>Optical Engineering</b:JournalName>
    <b:Year>2016</b:Year>
    <b:Volume>55</b:Volume>
    <b:RefOrder>10</b:RefOrder>
  </b:Source>
  <b:Source>
    <b:Tag>WuJ10</b:Tag>
    <b:SourceType>JournalArticle</b:SourceType>
    <b:Guid>{050D956F-A0D5-4519-B592-455A020621B2}</b:Guid>
    <b:Author>
      <b:Author>
        <b:NameList>
          <b:Person>
            <b:Last>Wu</b:Last>
            <b:First>Jianhua</b:First>
          </b:Person>
          <b:Person>
            <b:Last>Zhang</b:Last>
            <b:First>Lin</b:First>
          </b:Person>
          <b:Person>
            <b:Last>Zhou</b:Last>
            <b:First>Nanrun</b:First>
          </b:Person>
        </b:NameList>
      </b:Author>
    </b:Author>
    <b:Title>Image encryption based on the multiple-order discrete fractional cosine transform</b:Title>
    <b:JournalName>Optics Communications</b:JournalName>
    <b:Year>2010</b:Year>
    <b:Pages>1720–1725</b:Pages>
    <b:RefOrder>11</b:RefOrder>
  </b:Source>
  <b:Source>
    <b:Tag>Jav961</b:Tag>
    <b:SourceType>JournalArticle</b:SourceType>
    <b:Guid>{D759830B-0A12-420B-BC4F-740759E45635}</b:Guid>
    <b:Author>
      <b:Author>
        <b:NameList>
          <b:Person>
            <b:Last>Javidi</b:Last>
            <b:First>Bahram</b:First>
          </b:Person>
          <b:Person>
            <b:Last>Zhang</b:Last>
            <b:First>Guanshen</b:First>
          </b:Person>
          <b:Person>
            <b:Last>Li</b:Last>
            <b:First>Jian</b:First>
          </b:Person>
        </b:NameList>
      </b:Author>
    </b:Author>
    <b:Title>Experimental demostration of the random phase encoding technique for image encryption and security verification</b:Title>
    <b:JournalName>Optical Engineering</b:JournalName>
    <b:Year>1996</b:Year>
    <b:Volume>35</b:Volume>
    <b:Issue>9</b:Issue>
    <b:DOI>https://doi.org/10.1117/1.600854</b:DOI>
    <b:RefOrder>12</b:RefOrder>
  </b:Source>
  <b:Source>
    <b:Tag>Rue10</b:Tag>
    <b:SourceType>JournalArticle</b:SourceType>
    <b:Guid>{E977E2DA-A67C-4B32-875D-25C1D1B936CF}</b:Guid>
    <b:Title>Characterization of Reflective TN-LCD, Tuned in Phase-Only Modulation and to Six Wavelengths</b:Title>
    <b:JournalName>Photonics Letters of Poland</b:JournalName>
    <b:Year>2010</b:Year>
    <b:Pages>174-176</b:Pages>
    <b:Volume>2</b:Volume>
    <b:Issue>4</b:Issue>
    <b:Author>
      <b:Author>
        <b:NameList>
          <b:Person>
            <b:Last>Rueda Parada</b:Last>
            <b:Middle>Enrique</b:Middle>
            <b:First>Jorge</b:First>
          </b:Person>
          <b:Person>
            <b:Last>Romero</b:Last>
            <b:Middle>Ludia</b:Middle>
            <b:First>Ana</b:First>
          </b:Person>
          <b:Person>
            <b:Last>Guerra</b:Last>
            <b:Middle>Alfonso</b:Middle>
            <b:First>Luis</b:First>
          </b:Person>
        </b:NameList>
      </b:Author>
    </b:Author>
    <b:DOI>doi: 10.4302/plp.2010.4.11</b:DOI>
    <b:RefOrder>1</b:RefOrder>
  </b:Source>
</b:Sources>
</file>

<file path=customXml/itemProps1.xml><?xml version="1.0" encoding="utf-8"?>
<ds:datastoreItem xmlns:ds="http://schemas.openxmlformats.org/officeDocument/2006/customXml" ds:itemID="{63B3816F-2CD2-45BB-B0D7-A7774D35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3</Pages>
  <Words>1505</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Amilkar Alvarez</dc:creator>
  <cp:lastModifiedBy>Ilich Sebastian Villamizar Solano</cp:lastModifiedBy>
  <cp:revision>135</cp:revision>
  <cp:lastPrinted>2020-07-31T12:02:00Z</cp:lastPrinted>
  <dcterms:created xsi:type="dcterms:W3CDTF">2014-04-08T21:10:00Z</dcterms:created>
  <dcterms:modified xsi:type="dcterms:W3CDTF">2020-10-07T17:55:00Z</dcterms:modified>
</cp:coreProperties>
</file>